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440"/>
      </w:tblGrid>
      <w:tr>
        <w:tc>
          <w:tcPr>
            <w:tcW w:type="dxa" w:w="10570"/>
            <w:shd w:fill="0B1F3A"/>
            <w:tcMar>
              <w:top w:w="170" w:type="dxa"/>
              <w:start w:w="220" w:type="dxa"/>
              <w:bottom w:w="170" w:type="dxa"/>
              <w:end w:w="220" w:type="dxa"/>
            </w:tcMar>
          </w:tcPr>
          <w:p>
            <w:pPr>
              <w:pStyle w:val="DOSTitle"/>
              <w:keepLines/>
              <w:jc w:val="center"/>
            </w:pPr>
            <w:r>
              <w:t>THE DOUGLAS OPERATING SYSTEM™</w:t>
            </w:r>
          </w:p>
          <w:p>
            <w:pPr>
              <w:pStyle w:val="DOSSubtitle"/>
              <w:keepLines/>
              <w:jc w:val="center"/>
            </w:pPr>
            <w:r>
              <w:t>The Executive Operating System for the Modern Enterprise</w:t>
            </w:r>
          </w:p>
          <w:p>
            <w:pPr>
              <w:keepLines/>
              <w:jc w:val="center"/>
            </w:pPr>
            <w:r>
              <w:rPr>
                <w:rFonts w:ascii="Aptos" w:hAnsi="Aptos"/>
                <w:color w:val="FFFFFF"/>
                <w:sz w:val="19"/>
              </w:rPr>
              <w:t>A practical methodology for turning strategy, leadership, operations, and technology into measurable enterprise value.</w:t>
            </w:r>
          </w:p>
        </w:tc>
      </w:tr>
    </w:tbl>
    <w:p/>
    <w:p>
      <w:pPr>
        <w:pStyle w:val="DOSH1"/>
      </w:pPr>
      <w:r>
        <w:t>THE EXECUTIVE CHALLENGE</w:t>
      </w:r>
    </w:p>
    <w:p>
      <w:pPr>
        <w:spacing w:after="100"/>
      </w:pPr>
      <w:r>
        <w:t>Most organizations are managed through functions, projects, budgets, and performance reports—but enterprise value is created across the interfaces between them. Strategy fragments as it moves through the organization. Departments optimize locally. Accountability becomes unclear. Leaders receive more data but less operational truth. Transformation programs multiply while shared capacity declines.</w:t>
      </w:r>
    </w:p>
    <w:p>
      <w:r>
        <w:rPr>
          <w:b/>
        </w:rPr>
        <w:t>The result is an enterprise that works hard without consistently working as one system. DOS™ addresses this missing executive layer.</w:t>
      </w:r>
    </w:p>
    <w:tbl>
      <w:tblPr>
        <w:tblW w:type="auto" w:w="0"/>
        <w:jc w:val="center"/>
        <w:tblLayout w:type="fixed"/>
        <w:tblLook w:firstColumn="1" w:firstRow="1" w:lastColumn="0" w:lastRow="0" w:noHBand="0" w:noVBand="1" w:val="04A0"/>
      </w:tblPr>
      <w:tblGrid>
        <w:gridCol w:w="10440"/>
      </w:tblGrid>
      <w:tr>
        <w:tc>
          <w:tcPr>
            <w:tcW w:type="dxa" w:w="10570"/>
            <w:shd w:fill="EAF0F6"/>
            <w:tcMar>
              <w:top w:w="130" w:type="dxa"/>
              <w:start w:w="180" w:type="dxa"/>
              <w:bottom w:w="130" w:type="dxa"/>
              <w:end w:w="180" w:type="dxa"/>
            </w:tcMar>
          </w:tcPr>
          <w:p>
            <w:pPr>
              <w:keepLines/>
              <w:jc w:val="center"/>
            </w:pPr>
            <w:r>
              <w:rPr>
                <w:rFonts w:ascii="Aptos Display" w:hAnsi="Aptos Display"/>
                <w:b/>
                <w:color w:val="0B1F3A"/>
                <w:sz w:val="24"/>
              </w:rPr>
              <w:t>DOS™ moves leadership beyond managing individual functions to designing, governing, and continuously improving the enterprise as one integrated operating system.</w:t>
            </w:r>
          </w:p>
        </w:tc>
      </w:tr>
    </w:tbl>
    <w:p/>
    <w:p>
      <w:pPr>
        <w:pStyle w:val="DOSH1"/>
      </w:pPr>
      <w:r>
        <w:t>WHAT DOS™ PROVIDES</w:t>
      </w:r>
    </w:p>
    <w:tbl>
      <w:tblPr>
        <w:tblW w:type="auto" w:w="0"/>
        <w:jc w:val="center"/>
        <w:tblLayout w:type="fixed"/>
        <w:tblLook w:firstColumn="1" w:firstRow="1" w:lastColumn="0" w:lastRow="0" w:noHBand="0" w:noVBand="1" w:val="04A0"/>
      </w:tblPr>
      <w:tblGrid>
        <w:gridCol w:w="5285"/>
        <w:gridCol w:w="5285"/>
      </w:tblGrid>
      <w:tr>
        <w:tc>
          <w:tcPr>
            <w:tcW w:type="dxa" w:w="3096"/>
            <w:shd w:fill="17375E"/>
            <w:tcMar>
              <w:top w:w="75" w:type="dxa"/>
              <w:start w:w="100" w:type="dxa"/>
              <w:bottom w:w="75" w:type="dxa"/>
              <w:end w:w="100" w:type="dxa"/>
            </w:tcMar>
            <w:vAlign w:val="center"/>
          </w:tcPr>
          <w:p>
            <w:pPr>
              <w:keepLines/>
            </w:pPr>
            <w:r>
              <w:rPr>
                <w:b/>
                <w:color w:val="FFFFFF"/>
                <w:sz w:val="17"/>
              </w:rPr>
              <w:t>Enterprise Operating Architecture™</w:t>
            </w:r>
          </w:p>
        </w:tc>
        <w:tc>
          <w:tcPr>
            <w:tcW w:type="dxa" w:w="7344"/>
            <w:shd w:fill="F7F9FB"/>
            <w:tcMar>
              <w:top w:w="75" w:type="dxa"/>
              <w:start w:w="100" w:type="dxa"/>
              <w:bottom w:w="75" w:type="dxa"/>
              <w:end w:w="100" w:type="dxa"/>
            </w:tcMar>
            <w:vAlign w:val="center"/>
          </w:tcPr>
          <w:p>
            <w:pPr>
              <w:keepLines/>
            </w:pPr>
            <w:r>
              <w:rPr>
                <w:color w:val="243447"/>
                <w:sz w:val="16"/>
              </w:rPr>
              <w:t>Defines how strategy, capabilities, processes, technology, data, governance, people, and value work together.</w:t>
            </w:r>
          </w:p>
        </w:tc>
      </w:tr>
      <w:tr>
        <w:tc>
          <w:tcPr>
            <w:tcW w:type="dxa" w:w="3096"/>
            <w:shd w:fill="17375E"/>
            <w:tcMar>
              <w:top w:w="75" w:type="dxa"/>
              <w:start w:w="100" w:type="dxa"/>
              <w:bottom w:w="75" w:type="dxa"/>
              <w:end w:w="100" w:type="dxa"/>
            </w:tcMar>
            <w:vAlign w:val="center"/>
          </w:tcPr>
          <w:p>
            <w:pPr>
              <w:keepLines/>
            </w:pPr>
            <w:r>
              <w:rPr>
                <w:b/>
                <w:color w:val="FFFFFF"/>
                <w:sz w:val="17"/>
              </w:rPr>
              <w:t>Executive Performance Framework™</w:t>
            </w:r>
          </w:p>
        </w:tc>
        <w:tc>
          <w:tcPr>
            <w:tcW w:type="dxa" w:w="7344"/>
            <w:shd w:fill="F7F9FB"/>
            <w:tcMar>
              <w:top w:w="75" w:type="dxa"/>
              <w:start w:w="100" w:type="dxa"/>
              <w:bottom w:w="75" w:type="dxa"/>
              <w:end w:w="100" w:type="dxa"/>
            </w:tcMar>
            <w:vAlign w:val="center"/>
          </w:tcPr>
          <w:p>
            <w:pPr>
              <w:keepLines/>
            </w:pPr>
            <w:r>
              <w:rPr>
                <w:color w:val="243447"/>
                <w:sz w:val="16"/>
              </w:rPr>
              <w:t>Connects outcomes, drivers, health, risk, learning, accountability, and action.</w:t>
            </w:r>
          </w:p>
        </w:tc>
      </w:tr>
      <w:tr>
        <w:tc>
          <w:tcPr>
            <w:tcW w:type="dxa" w:w="3096"/>
            <w:shd w:fill="17375E"/>
            <w:tcMar>
              <w:top w:w="75" w:type="dxa"/>
              <w:start w:w="100" w:type="dxa"/>
              <w:bottom w:w="75" w:type="dxa"/>
              <w:end w:w="100" w:type="dxa"/>
            </w:tcMar>
            <w:vAlign w:val="center"/>
          </w:tcPr>
          <w:p>
            <w:pPr>
              <w:keepLines/>
            </w:pPr>
            <w:r>
              <w:rPr>
                <w:b/>
                <w:color w:val="FFFFFF"/>
                <w:sz w:val="17"/>
              </w:rPr>
              <w:t>Executive Governance Model™</w:t>
            </w:r>
          </w:p>
        </w:tc>
        <w:tc>
          <w:tcPr>
            <w:tcW w:type="dxa" w:w="7344"/>
            <w:shd w:fill="F7F9FB"/>
            <w:tcMar>
              <w:top w:w="75" w:type="dxa"/>
              <w:start w:w="100" w:type="dxa"/>
              <w:bottom w:w="75" w:type="dxa"/>
              <w:end w:w="100" w:type="dxa"/>
            </w:tcMar>
            <w:vAlign w:val="center"/>
          </w:tcPr>
          <w:p>
            <w:pPr>
              <w:keepLines/>
            </w:pPr>
            <w:r>
              <w:rPr>
                <w:color w:val="243447"/>
                <w:sz w:val="16"/>
              </w:rPr>
              <w:t>Creates clear decision rights, review rhythms, escalation paths, and evidence-based accountability.</w:t>
            </w:r>
          </w:p>
        </w:tc>
      </w:tr>
      <w:tr>
        <w:tc>
          <w:tcPr>
            <w:tcW w:type="dxa" w:w="3096"/>
            <w:shd w:fill="17375E"/>
            <w:tcMar>
              <w:top w:w="75" w:type="dxa"/>
              <w:start w:w="100" w:type="dxa"/>
              <w:bottom w:w="75" w:type="dxa"/>
              <w:end w:w="100" w:type="dxa"/>
            </w:tcMar>
            <w:vAlign w:val="center"/>
          </w:tcPr>
          <w:p>
            <w:pPr>
              <w:keepLines/>
            </w:pPr>
            <w:r>
              <w:rPr>
                <w:b/>
                <w:color w:val="FFFFFF"/>
                <w:sz w:val="17"/>
              </w:rPr>
              <w:t>Transformation and Value Systems</w:t>
            </w:r>
          </w:p>
        </w:tc>
        <w:tc>
          <w:tcPr>
            <w:tcW w:type="dxa" w:w="7344"/>
            <w:shd w:fill="F7F9FB"/>
            <w:tcMar>
              <w:top w:w="75" w:type="dxa"/>
              <w:start w:w="100" w:type="dxa"/>
              <w:bottom w:w="75" w:type="dxa"/>
              <w:end w:w="100" w:type="dxa"/>
            </w:tcMar>
            <w:vAlign w:val="center"/>
          </w:tcPr>
          <w:p>
            <w:pPr>
              <w:keepLines/>
            </w:pPr>
            <w:r>
              <w:rPr>
                <w:color w:val="243447"/>
                <w:sz w:val="16"/>
              </w:rPr>
              <w:t>Treats transformation as an enterprise capability and links operational performance to compounding value.</w:t>
            </w:r>
          </w:p>
        </w:tc>
      </w:tr>
      <w:tr>
        <w:tc>
          <w:tcPr>
            <w:tcW w:type="dxa" w:w="3096"/>
            <w:shd w:fill="17375E"/>
            <w:tcMar>
              <w:top w:w="75" w:type="dxa"/>
              <w:start w:w="100" w:type="dxa"/>
              <w:bottom w:w="75" w:type="dxa"/>
              <w:end w:w="100" w:type="dxa"/>
            </w:tcMar>
            <w:vAlign w:val="center"/>
          </w:tcPr>
          <w:p>
            <w:pPr>
              <w:keepLines/>
            </w:pPr>
            <w:r>
              <w:rPr>
                <w:b/>
                <w:color w:val="FFFFFF"/>
                <w:sz w:val="17"/>
              </w:rPr>
              <w:t>Leadership and Culture Standards</w:t>
            </w:r>
          </w:p>
        </w:tc>
        <w:tc>
          <w:tcPr>
            <w:tcW w:type="dxa" w:w="7344"/>
            <w:shd w:fill="F7F9FB"/>
            <w:tcMar>
              <w:top w:w="75" w:type="dxa"/>
              <w:start w:w="100" w:type="dxa"/>
              <w:bottom w:w="75" w:type="dxa"/>
              <w:end w:w="100" w:type="dxa"/>
            </w:tcMar>
            <w:vAlign w:val="center"/>
          </w:tcPr>
          <w:p>
            <w:pPr>
              <w:keepLines/>
            </w:pPr>
            <w:r>
              <w:rPr>
                <w:color w:val="243447"/>
                <w:sz w:val="16"/>
              </w:rPr>
              <w:t>Builds enterprise thinking, psychological safety, capability, stewardship, and institutional continuity.</w:t>
            </w:r>
          </w:p>
        </w:tc>
      </w:tr>
      <w:tr>
        <w:tc>
          <w:tcPr>
            <w:tcW w:type="dxa" w:w="3096"/>
            <w:shd w:fill="17375E"/>
            <w:tcMar>
              <w:top w:w="75" w:type="dxa"/>
              <w:start w:w="100" w:type="dxa"/>
              <w:bottom w:w="75" w:type="dxa"/>
              <w:end w:w="100" w:type="dxa"/>
            </w:tcMar>
            <w:vAlign w:val="center"/>
          </w:tcPr>
          <w:p>
            <w:pPr>
              <w:keepLines/>
            </w:pPr>
            <w:r>
              <w:rPr>
                <w:b/>
                <w:color w:val="FFFFFF"/>
                <w:sz w:val="17"/>
              </w:rPr>
              <w:t>AI-Enabled Executive Intelligence</w:t>
            </w:r>
          </w:p>
        </w:tc>
        <w:tc>
          <w:tcPr>
            <w:tcW w:type="dxa" w:w="7344"/>
            <w:shd w:fill="F7F9FB"/>
            <w:tcMar>
              <w:top w:w="75" w:type="dxa"/>
              <w:start w:w="100" w:type="dxa"/>
              <w:bottom w:w="75" w:type="dxa"/>
              <w:end w:w="100" w:type="dxa"/>
            </w:tcMar>
            <w:vAlign w:val="center"/>
          </w:tcPr>
          <w:p>
            <w:pPr>
              <w:keepLines/>
            </w:pPr>
            <w:r>
              <w:rPr>
                <w:color w:val="243447"/>
                <w:sz w:val="16"/>
              </w:rPr>
              <w:t>Uses responsible AI, predictive insight, and executive digital twins to improve decisions without surrendering judgment.</w:t>
            </w:r>
          </w:p>
        </w:tc>
      </w:tr>
    </w:tbl>
    <w:p>
      <w:r>
        <w:br w:type="page"/>
      </w:r>
    </w:p>
    <w:p>
      <w:pPr>
        <w:pStyle w:val="DOSH1"/>
      </w:pPr>
      <w:r>
        <w:t>HOW DOS™ CHANGES LEADERSHIP</w:t>
      </w:r>
    </w:p>
    <w:p>
      <w:r>
        <w:t>Traditional leadership development emphasizes how leaders think, communicate, influence, and behave. DOS™ complements those disciplines by defining how leaders build the operating environment in which people and strategy can succeed.</w:t>
      </w:r>
    </w:p>
    <w:tbl>
      <w:tblPr>
        <w:tblW w:type="auto" w:w="0"/>
        <w:jc w:val="center"/>
        <w:tblLayout w:type="fixed"/>
        <w:tblLook w:firstColumn="1" w:firstRow="1" w:lastColumn="0" w:lastRow="0" w:noHBand="0" w:noVBand="1" w:val="04A0"/>
      </w:tblPr>
      <w:tblGrid>
        <w:gridCol w:w="2114"/>
        <w:gridCol w:w="2114"/>
        <w:gridCol w:w="2114"/>
        <w:gridCol w:w="2114"/>
        <w:gridCol w:w="2114"/>
      </w:tblGrid>
      <w:tr>
        <w:tc>
          <w:tcPr>
            <w:tcW w:type="dxa" w:w="2088"/>
            <w:shd w:fill="0B1F3A"/>
            <w:tcMar>
              <w:top w:w="100" w:type="dxa"/>
              <w:start w:w="60" w:type="dxa"/>
              <w:bottom w:w="100" w:type="dxa"/>
              <w:end w:w="60" w:type="dxa"/>
            </w:tcMar>
          </w:tcPr>
          <w:p>
            <w:pPr>
              <w:keepLines/>
              <w:jc w:val="center"/>
            </w:pPr>
            <w:r>
              <w:rPr>
                <w:b/>
                <w:color w:val="4CC3D9"/>
                <w:sz w:val="19"/>
              </w:rPr>
              <w:t>SEE</w:t>
            </w:r>
          </w:p>
          <w:p>
            <w:pPr>
              <w:keepLines/>
              <w:jc w:val="center"/>
            </w:pPr>
            <w:r>
              <w:rPr>
                <w:color w:val="FFFFFF"/>
                <w:sz w:val="14"/>
              </w:rPr>
              <w:t>Create enterprise visibility</w:t>
            </w:r>
          </w:p>
        </w:tc>
        <w:tc>
          <w:tcPr>
            <w:tcW w:type="dxa" w:w="2088"/>
            <w:shd w:fill="17375E"/>
            <w:tcMar>
              <w:top w:w="100" w:type="dxa"/>
              <w:start w:w="60" w:type="dxa"/>
              <w:bottom w:w="100" w:type="dxa"/>
              <w:end w:w="60" w:type="dxa"/>
            </w:tcMar>
          </w:tcPr>
          <w:p>
            <w:pPr>
              <w:keepLines/>
              <w:jc w:val="center"/>
            </w:pPr>
            <w:r>
              <w:rPr>
                <w:b/>
                <w:color w:val="4CC3D9"/>
                <w:sz w:val="19"/>
              </w:rPr>
              <w:t>ALIGN</w:t>
            </w:r>
          </w:p>
          <w:p>
            <w:pPr>
              <w:keepLines/>
              <w:jc w:val="center"/>
            </w:pPr>
            <w:r>
              <w:rPr>
                <w:color w:val="FFFFFF"/>
                <w:sz w:val="14"/>
              </w:rPr>
              <w:t>Connect priorities and capacity</w:t>
            </w:r>
          </w:p>
        </w:tc>
        <w:tc>
          <w:tcPr>
            <w:tcW w:type="dxa" w:w="2088"/>
            <w:shd w:fill="0B1F3A"/>
            <w:tcMar>
              <w:top w:w="100" w:type="dxa"/>
              <w:start w:w="60" w:type="dxa"/>
              <w:bottom w:w="100" w:type="dxa"/>
              <w:end w:w="60" w:type="dxa"/>
            </w:tcMar>
          </w:tcPr>
          <w:p>
            <w:pPr>
              <w:keepLines/>
              <w:jc w:val="center"/>
            </w:pPr>
            <w:r>
              <w:rPr>
                <w:b/>
                <w:color w:val="4CC3D9"/>
                <w:sz w:val="19"/>
              </w:rPr>
              <w:t>GOVERN</w:t>
            </w:r>
          </w:p>
          <w:p>
            <w:pPr>
              <w:keepLines/>
              <w:jc w:val="center"/>
            </w:pPr>
            <w:r>
              <w:rPr>
                <w:color w:val="FFFFFF"/>
                <w:sz w:val="14"/>
              </w:rPr>
              <w:t>Clarify decisions and accountability</w:t>
            </w:r>
          </w:p>
        </w:tc>
        <w:tc>
          <w:tcPr>
            <w:tcW w:type="dxa" w:w="2088"/>
            <w:shd w:fill="17375E"/>
            <w:tcMar>
              <w:top w:w="100" w:type="dxa"/>
              <w:start w:w="60" w:type="dxa"/>
              <w:bottom w:w="100" w:type="dxa"/>
              <w:end w:w="60" w:type="dxa"/>
            </w:tcMar>
          </w:tcPr>
          <w:p>
            <w:pPr>
              <w:keepLines/>
              <w:jc w:val="center"/>
            </w:pPr>
            <w:r>
              <w:rPr>
                <w:b/>
                <w:color w:val="4CC3D9"/>
                <w:sz w:val="19"/>
              </w:rPr>
              <w:t>EXECUTE</w:t>
            </w:r>
          </w:p>
          <w:p>
            <w:pPr>
              <w:keepLines/>
              <w:jc w:val="center"/>
            </w:pPr>
            <w:r>
              <w:rPr>
                <w:color w:val="FFFFFF"/>
                <w:sz w:val="14"/>
              </w:rPr>
              <w:t>Translate strategy into coordinated action</w:t>
            </w:r>
          </w:p>
        </w:tc>
        <w:tc>
          <w:tcPr>
            <w:tcW w:type="dxa" w:w="2088"/>
            <w:shd w:fill="0B1F3A"/>
            <w:tcMar>
              <w:top w:w="100" w:type="dxa"/>
              <w:start w:w="60" w:type="dxa"/>
              <w:bottom w:w="100" w:type="dxa"/>
              <w:end w:w="60" w:type="dxa"/>
            </w:tcMar>
          </w:tcPr>
          <w:p>
            <w:pPr>
              <w:keepLines/>
              <w:jc w:val="center"/>
            </w:pPr>
            <w:r>
              <w:rPr>
                <w:b/>
                <w:color w:val="4CC3D9"/>
                <w:sz w:val="19"/>
              </w:rPr>
              <w:t>LEARN</w:t>
            </w:r>
          </w:p>
          <w:p>
            <w:pPr>
              <w:keepLines/>
              <w:jc w:val="center"/>
            </w:pPr>
            <w:r>
              <w:rPr>
                <w:color w:val="FFFFFF"/>
                <w:sz w:val="14"/>
              </w:rPr>
              <w:t>Use evidence to improve the system</w:t>
            </w:r>
          </w:p>
        </w:tc>
      </w:tr>
    </w:tbl>
    <w:p/>
    <w:tbl>
      <w:tblPr>
        <w:tblW w:type="auto" w:w="0"/>
        <w:jc w:val="center"/>
        <w:tblLayout w:type="fixed"/>
        <w:tblLook w:firstColumn="1" w:firstRow="1" w:lastColumn="0" w:lastRow="0" w:noHBand="0" w:noVBand="1" w:val="04A0"/>
      </w:tblPr>
      <w:tblGrid>
        <w:gridCol w:w="5285"/>
        <w:gridCol w:w="5285"/>
      </w:tblGrid>
      <w:tr>
        <w:tc>
          <w:tcPr>
            <w:tcW w:type="dxa" w:w="5112"/>
            <w:tcMar>
              <w:top w:w="110" w:type="dxa"/>
              <w:start w:w="140" w:type="dxa"/>
              <w:bottom w:w="110" w:type="dxa"/>
              <w:end w:w="140" w:type="dxa"/>
            </w:tcMar>
            <w:shd w:fill="EAF0F6"/>
          </w:tcPr>
          <w:p>
            <w:pPr>
              <w:keepLines/>
            </w:pPr>
            <w:r>
              <w:rPr>
                <w:b/>
                <w:color w:val="0B1F3A"/>
                <w:sz w:val="22"/>
              </w:rPr>
              <w:t>ENTERPRISE OUTCOMES</w:t>
            </w:r>
          </w:p>
          <w:p>
            <w:pPr>
              <w:pStyle w:val="ListBullet"/>
              <w:keepLines/>
              <w:spacing w:after="40"/>
            </w:pPr>
            <w:r>
              <w:t>Stronger strategy execution and cross-functional alignment</w:t>
            </w:r>
          </w:p>
          <w:p>
            <w:pPr>
              <w:pStyle w:val="ListBullet"/>
              <w:keepLines/>
              <w:spacing w:after="40"/>
            </w:pPr>
            <w:r>
              <w:t>Greater visibility, decision quality, and accountability</w:t>
            </w:r>
          </w:p>
          <w:p>
            <w:pPr>
              <w:pStyle w:val="ListBullet"/>
              <w:keepLines/>
              <w:spacing w:after="40"/>
            </w:pPr>
            <w:r>
              <w:t>Lower organizational friction and execution risk</w:t>
            </w:r>
          </w:p>
          <w:p>
            <w:pPr>
              <w:pStyle w:val="ListBullet"/>
              <w:keepLines/>
              <w:spacing w:after="40"/>
            </w:pPr>
            <w:r>
              <w:t>Improved resilience, learning, and transformation capacity</w:t>
            </w:r>
          </w:p>
          <w:p>
            <w:pPr>
              <w:pStyle w:val="ListBullet"/>
              <w:keepLines/>
              <w:spacing w:after="40"/>
            </w:pPr>
            <w:r>
              <w:t>A repeatable path from operational performance to enterprise value</w:t>
            </w:r>
          </w:p>
        </w:tc>
        <w:tc>
          <w:tcPr>
            <w:tcW w:type="dxa" w:w="5112"/>
            <w:tcMar>
              <w:top w:w="110" w:type="dxa"/>
              <w:start w:w="140" w:type="dxa"/>
              <w:bottom w:w="110" w:type="dxa"/>
              <w:end w:w="140" w:type="dxa"/>
            </w:tcMar>
            <w:shd w:fill="F7F9FB"/>
          </w:tcPr>
          <w:p>
            <w:pPr>
              <w:keepLines/>
            </w:pPr>
            <w:r>
              <w:rPr>
                <w:b/>
                <w:color w:val="0B1F3A"/>
                <w:sz w:val="22"/>
              </w:rPr>
              <w:t>PRIMARY AUDIENCE</w:t>
            </w:r>
          </w:p>
          <w:p>
            <w:pPr>
              <w:pStyle w:val="ListBullet"/>
              <w:keepLines/>
              <w:spacing w:after="40"/>
            </w:pPr>
            <w:r>
              <w:t>CEOs, COOs, presidents, and enterprise executives</w:t>
            </w:r>
          </w:p>
          <w:p>
            <w:pPr>
              <w:pStyle w:val="ListBullet"/>
              <w:keepLines/>
              <w:spacing w:after="40"/>
            </w:pPr>
            <w:r>
              <w:t>Boards and private-equity operating partners</w:t>
            </w:r>
          </w:p>
          <w:p>
            <w:pPr>
              <w:pStyle w:val="ListBullet"/>
              <w:keepLines/>
              <w:spacing w:after="40"/>
            </w:pPr>
            <w:r>
              <w:t>Transformation, strategy, technology, and operations leaders</w:t>
            </w:r>
          </w:p>
          <w:p>
            <w:pPr>
              <w:pStyle w:val="ListBullet"/>
              <w:keepLines/>
              <w:spacing w:after="40"/>
            </w:pPr>
            <w:r>
              <w:t>Leadership-development and executive-education organizations</w:t>
            </w:r>
          </w:p>
          <w:p>
            <w:pPr>
              <w:pStyle w:val="ListBullet"/>
              <w:keepLines/>
              <w:spacing w:after="40"/>
            </w:pPr>
            <w:r>
              <w:t>Consultants, coaches, MBA programs, and emerging executives</w:t>
            </w:r>
          </w:p>
        </w:tc>
      </w:tr>
    </w:tbl>
    <w:p/>
    <w:p>
      <w:pPr>
        <w:pStyle w:val="DOSH1"/>
      </w:pPr>
      <w:r>
        <w:t>A METHODOLOGY BUILT FOR ADOPTION</w:t>
      </w:r>
    </w:p>
    <w:p>
      <w:r>
        <w:t>DOS™ is designed as more than a book. It is the foundation for an integrated leadership and enterprise-improvement ecosystem:</w:t>
      </w:r>
    </w:p>
    <w:tbl>
      <w:tblPr>
        <w:tblW w:type="auto" w:w="0"/>
        <w:jc w:val="center"/>
        <w:tblLayout w:type="fixed"/>
        <w:tblLook w:firstColumn="1" w:firstRow="1" w:lastColumn="0" w:lastRow="0" w:noHBand="0" w:noVBand="1" w:val="04A0"/>
      </w:tblPr>
      <w:tblGrid>
        <w:gridCol w:w="2642"/>
        <w:gridCol w:w="2642"/>
        <w:gridCol w:w="2642"/>
        <w:gridCol w:w="2642"/>
      </w:tblGrid>
      <w:tr>
        <w:tc>
          <w:tcPr>
            <w:tcW w:type="dxa" w:w="2592"/>
            <w:shd w:fill="17375E"/>
            <w:tcMar>
              <w:top w:w="85" w:type="dxa"/>
              <w:start w:w="65" w:type="dxa"/>
              <w:bottom w:w="85" w:type="dxa"/>
              <w:end w:w="65" w:type="dxa"/>
            </w:tcMar>
          </w:tcPr>
          <w:p>
            <w:pPr>
              <w:keepLines/>
              <w:jc w:val="center"/>
            </w:pPr>
            <w:r>
              <w:rPr>
                <w:b/>
                <w:color w:val="4CC3D9"/>
                <w:sz w:val="16"/>
              </w:rPr>
              <w:t>BOOK &amp; PLAYBOOKS</w:t>
            </w:r>
          </w:p>
          <w:p>
            <w:pPr>
              <w:keepLines/>
              <w:jc w:val="center"/>
            </w:pPr>
            <w:r>
              <w:rPr>
                <w:color w:val="FFFFFF"/>
                <w:sz w:val="14"/>
              </w:rPr>
              <w:t>Shared language and executive doctrine</w:t>
            </w:r>
          </w:p>
        </w:tc>
        <w:tc>
          <w:tcPr>
            <w:tcW w:type="dxa" w:w="2592"/>
            <w:shd w:fill="17375E"/>
            <w:tcMar>
              <w:top w:w="85" w:type="dxa"/>
              <w:start w:w="65" w:type="dxa"/>
              <w:bottom w:w="85" w:type="dxa"/>
              <w:end w:w="65" w:type="dxa"/>
            </w:tcMar>
          </w:tcPr>
          <w:p>
            <w:pPr>
              <w:keepLines/>
              <w:jc w:val="center"/>
            </w:pPr>
            <w:r>
              <w:rPr>
                <w:b/>
                <w:color w:val="4CC3D9"/>
                <w:sz w:val="16"/>
              </w:rPr>
              <w:t>ASSESSMENTS</w:t>
            </w:r>
          </w:p>
          <w:p>
            <w:pPr>
              <w:keepLines/>
              <w:jc w:val="center"/>
            </w:pPr>
            <w:r>
              <w:rPr>
                <w:color w:val="FFFFFF"/>
                <w:sz w:val="14"/>
              </w:rPr>
              <w:t>Enterprise readiness and maturity diagnostics</w:t>
            </w:r>
          </w:p>
        </w:tc>
        <w:tc>
          <w:tcPr>
            <w:tcW w:type="dxa" w:w="2592"/>
            <w:shd w:fill="17375E"/>
            <w:tcMar>
              <w:top w:w="85" w:type="dxa"/>
              <w:start w:w="65" w:type="dxa"/>
              <w:bottom w:w="85" w:type="dxa"/>
              <w:end w:w="65" w:type="dxa"/>
            </w:tcMar>
          </w:tcPr>
          <w:p>
            <w:pPr>
              <w:keepLines/>
              <w:jc w:val="center"/>
            </w:pPr>
            <w:r>
              <w:rPr>
                <w:b/>
                <w:color w:val="4CC3D9"/>
                <w:sz w:val="16"/>
              </w:rPr>
              <w:t>EDUCATION</w:t>
            </w:r>
          </w:p>
          <w:p>
            <w:pPr>
              <w:keepLines/>
              <w:jc w:val="center"/>
            </w:pPr>
            <w:r>
              <w:rPr>
                <w:color w:val="FFFFFF"/>
                <w:sz w:val="14"/>
              </w:rPr>
              <w:t>Executive programs, workshops, and case-based learning</w:t>
            </w:r>
          </w:p>
        </w:tc>
        <w:tc>
          <w:tcPr>
            <w:tcW w:type="dxa" w:w="2592"/>
            <w:shd w:fill="17375E"/>
            <w:tcMar>
              <w:top w:w="85" w:type="dxa"/>
              <w:start w:w="65" w:type="dxa"/>
              <w:bottom w:w="85" w:type="dxa"/>
              <w:end w:w="65" w:type="dxa"/>
            </w:tcMar>
          </w:tcPr>
          <w:p>
            <w:pPr>
              <w:keepLines/>
              <w:jc w:val="center"/>
            </w:pPr>
            <w:r>
              <w:rPr>
                <w:b/>
                <w:color w:val="4CC3D9"/>
                <w:sz w:val="16"/>
              </w:rPr>
              <w:t>CERTIFICATION</w:t>
            </w:r>
          </w:p>
          <w:p>
            <w:pPr>
              <w:keepLines/>
              <w:jc w:val="center"/>
            </w:pPr>
            <w:r>
              <w:rPr>
                <w:color w:val="FFFFFF"/>
                <w:sz w:val="14"/>
              </w:rPr>
              <w:t>Leader, practitioner, and enterprise standards</w:t>
            </w:r>
          </w:p>
        </w:tc>
      </w:tr>
      <w:tr>
        <w:tc>
          <w:tcPr>
            <w:tcW w:type="dxa" w:w="2592"/>
            <w:shd w:fill="0B1F3A"/>
            <w:tcMar>
              <w:top w:w="85" w:type="dxa"/>
              <w:start w:w="65" w:type="dxa"/>
              <w:bottom w:w="85" w:type="dxa"/>
              <w:end w:w="65" w:type="dxa"/>
            </w:tcMar>
          </w:tcPr>
          <w:p>
            <w:pPr>
              <w:keepLines/>
              <w:jc w:val="center"/>
            </w:pPr>
            <w:r>
              <w:rPr>
                <w:b/>
                <w:color w:val="4CC3D9"/>
                <w:sz w:val="16"/>
              </w:rPr>
              <w:t>ADVISORY</w:t>
            </w:r>
          </w:p>
          <w:p>
            <w:pPr>
              <w:keepLines/>
              <w:jc w:val="center"/>
            </w:pPr>
            <w:r>
              <w:rPr>
                <w:color w:val="FFFFFF"/>
                <w:sz w:val="14"/>
              </w:rPr>
              <w:t>Operating-model and transformation support</w:t>
            </w:r>
          </w:p>
        </w:tc>
        <w:tc>
          <w:tcPr>
            <w:tcW w:type="dxa" w:w="2592"/>
            <w:shd w:fill="0B1F3A"/>
            <w:tcMar>
              <w:top w:w="85" w:type="dxa"/>
              <w:start w:w="65" w:type="dxa"/>
              <w:bottom w:w="85" w:type="dxa"/>
              <w:end w:w="65" w:type="dxa"/>
            </w:tcMar>
          </w:tcPr>
          <w:p>
            <w:pPr>
              <w:keepLines/>
              <w:jc w:val="center"/>
            </w:pPr>
            <w:r>
              <w:rPr>
                <w:b/>
                <w:color w:val="4CC3D9"/>
                <w:sz w:val="16"/>
              </w:rPr>
              <w:t>LICENSING</w:t>
            </w:r>
          </w:p>
          <w:p>
            <w:pPr>
              <w:keepLines/>
              <w:jc w:val="center"/>
            </w:pPr>
            <w:r>
              <w:rPr>
                <w:color w:val="FFFFFF"/>
                <w:sz w:val="14"/>
              </w:rPr>
              <w:t>Facilitator and organizational deployment</w:t>
            </w:r>
          </w:p>
        </w:tc>
        <w:tc>
          <w:tcPr>
            <w:tcW w:type="dxa" w:w="2592"/>
            <w:shd w:fill="0B1F3A"/>
            <w:tcMar>
              <w:top w:w="85" w:type="dxa"/>
              <w:start w:w="65" w:type="dxa"/>
              <w:bottom w:w="85" w:type="dxa"/>
              <w:end w:w="65" w:type="dxa"/>
            </w:tcMar>
          </w:tcPr>
          <w:p>
            <w:pPr>
              <w:keepLines/>
              <w:jc w:val="center"/>
            </w:pPr>
            <w:r>
              <w:rPr>
                <w:b/>
                <w:color w:val="4CC3D9"/>
                <w:sz w:val="16"/>
              </w:rPr>
              <w:t>RESEARCH</w:t>
            </w:r>
          </w:p>
          <w:p>
            <w:pPr>
              <w:keepLines/>
              <w:jc w:val="center"/>
            </w:pPr>
            <w:r>
              <w:rPr>
                <w:color w:val="FFFFFF"/>
                <w:sz w:val="14"/>
              </w:rPr>
              <w:t>Validation, benchmarks, and thought leadership</w:t>
            </w:r>
          </w:p>
        </w:tc>
        <w:tc>
          <w:tcPr>
            <w:tcW w:type="dxa" w:w="2592"/>
            <w:shd w:fill="0B1F3A"/>
            <w:tcMar>
              <w:top w:w="85" w:type="dxa"/>
              <w:start w:w="65" w:type="dxa"/>
              <w:bottom w:w="85" w:type="dxa"/>
              <w:end w:w="65" w:type="dxa"/>
            </w:tcMar>
          </w:tcPr>
          <w:p>
            <w:pPr>
              <w:keepLines/>
              <w:jc w:val="center"/>
            </w:pPr>
            <w:r>
              <w:rPr>
                <w:b/>
                <w:color w:val="4CC3D9"/>
                <w:sz w:val="16"/>
              </w:rPr>
              <w:t>DIGITAL TOOLS</w:t>
            </w:r>
          </w:p>
          <w:p>
            <w:pPr>
              <w:keepLines/>
              <w:jc w:val="center"/>
            </w:pPr>
            <w:r>
              <w:rPr>
                <w:color w:val="FFFFFF"/>
                <w:sz w:val="14"/>
              </w:rPr>
              <w:t>Dashboards, AI advisors, and decision support</w:t>
            </w:r>
          </w:p>
        </w:tc>
      </w:tr>
    </w:tbl>
    <w:p/>
    <w:tbl>
      <w:tblPr>
        <w:tblW w:type="auto" w:w="0"/>
        <w:jc w:val="center"/>
        <w:tblLayout w:type="fixed"/>
        <w:tblLook w:firstColumn="1" w:firstRow="1" w:lastColumn="0" w:lastRow="0" w:noHBand="0" w:noVBand="1" w:val="04A0"/>
      </w:tblPr>
      <w:tblGrid>
        <w:gridCol w:w="5285"/>
        <w:gridCol w:w="5285"/>
      </w:tblGrid>
      <w:tr>
        <w:tc>
          <w:tcPr>
            <w:tcW w:type="dxa" w:w="5285"/>
            <w:tcMar>
              <w:top w:w="100" w:type="dxa"/>
              <w:start w:w="130" w:type="dxa"/>
              <w:bottom w:w="100" w:type="dxa"/>
              <w:end w:w="130" w:type="dxa"/>
            </w:tcMar>
            <w:shd w:fill="0B1F3A"/>
          </w:tcPr>
          <w:p>
            <w:pPr>
              <w:keepLines/>
            </w:pPr>
            <w:r>
              <w:rPr>
                <w:b/>
                <w:color w:val="4CC3D9"/>
                <w:sz w:val="21"/>
              </w:rPr>
              <w:t>BUILT FROM PRACTICE</w:t>
            </w:r>
          </w:p>
          <w:p>
            <w:pPr>
              <w:keepLines/>
            </w:pPr>
            <w:r>
              <w:rPr>
                <w:color w:val="FFFFFF"/>
                <w:sz w:val="16"/>
              </w:rPr>
              <w:t>Developed from more than three decades leading complex, regulated, technology-enabled, and mission-critical operations across large workforces, data centers, customer networks, service organizations, and transformation programs.</w:t>
            </w:r>
          </w:p>
        </w:tc>
        <w:tc>
          <w:tcPr>
            <w:tcW w:type="dxa" w:w="5285"/>
            <w:tcMar>
              <w:top w:w="100" w:type="dxa"/>
              <w:start w:w="130" w:type="dxa"/>
              <w:bottom w:w="100" w:type="dxa"/>
              <w:end w:w="130" w:type="dxa"/>
            </w:tcMar>
            <w:shd w:fill="EAF0F6"/>
          </w:tcPr>
          <w:p>
            <w:pPr>
              <w:keepLines/>
            </w:pPr>
            <w:r>
              <w:rPr>
                <w:b/>
                <w:color w:val="0B1F3A"/>
                <w:sz w:val="21"/>
              </w:rPr>
              <w:t>CREATED BY DAVID D. DOUGLAS</w:t>
            </w:r>
          </w:p>
          <w:p>
            <w:pPr>
              <w:keepLines/>
            </w:pPr>
            <w:r>
              <w:rPr>
                <w:sz w:val="16"/>
              </w:rPr>
              <w:t>Enterprise operations executive, author, and creator of DOS™. Former Vice President of North America Service Management for Scientific Games. MBA, Tulane University Freeman School of Business.</w:t>
            </w:r>
          </w:p>
        </w:tc>
      </w:tr>
    </w:tbl>
    <w:p/>
    <w:tbl>
      <w:tblPr>
        <w:tblW w:type="auto" w:w="0"/>
        <w:jc w:val="center"/>
        <w:tblLayout w:type="fixed"/>
        <w:tblLook w:firstColumn="1" w:firstRow="1" w:lastColumn="0" w:lastRow="0" w:noHBand="0" w:noVBand="1" w:val="04A0"/>
      </w:tblPr>
      <w:tblGrid>
        <w:gridCol w:w="10570"/>
      </w:tblGrid>
      <w:tr>
        <w:tc>
          <w:tcPr>
            <w:tcW w:type="dxa" w:w="10570"/>
            <w:shd w:fill="D8B35A"/>
            <w:tcMar>
              <w:top w:w="120" w:type="dxa"/>
              <w:start w:w="150" w:type="dxa"/>
              <w:bottom w:w="120" w:type="dxa"/>
              <w:end w:w="150" w:type="dxa"/>
            </w:tcMar>
          </w:tcPr>
          <w:p>
            <w:pPr>
              <w:keepLines/>
              <w:jc w:val="center"/>
            </w:pPr>
            <w:r>
              <w:rPr>
                <w:b/>
                <w:color w:val="0B1F3A"/>
                <w:sz w:val="20"/>
              </w:rPr>
              <w:t>DOS™ is designed to become an enduring executive operating standard—helping leaders transform fragmented organizations into integrated enterprises that learn, adapt, and compound value over time.</w:t>
            </w:r>
          </w:p>
        </w:tc>
      </w:tr>
    </w:tbl>
    <w:p>
      <w:r>
        <w:br w:type="page"/>
      </w:r>
    </w:p>
    <w:tbl>
      <w:tblPr>
        <w:tblW w:type="auto" w:w="0"/>
        <w:jc w:val="center"/>
        <w:tblLayout w:type="autofit"/>
        <w:tblLook w:firstColumn="1" w:firstRow="1" w:lastColumn="0" w:lastRow="0" w:noHBand="0" w:noVBand="1" w:val="04A0"/>
      </w:tblPr>
      <w:tblGrid>
        <w:gridCol w:w="10570"/>
      </w:tblGrid>
      <w:tr>
        <w:tc>
          <w:tcPr>
            <w:tcW w:type="dxa" w:w="10570"/>
            <w:tcMar>
              <w:top w:w="120" w:type="dxa"/>
              <w:start w:w="140" w:type="dxa"/>
              <w:bottom w:w="120" w:type="dxa"/>
              <w:end w:w="140" w:type="dxa"/>
            </w:tcMar>
            <w:shd w:fill="0B1F3A"/>
            <w:vAlign w:val="center"/>
          </w:tcPr>
          <w:p>
            <w:pPr>
              <w:jc w:val="center"/>
            </w:pPr>
            <w:r>
              <w:rPr>
                <w:sz w:val="20"/>
              </w:rPr>
            </w:r>
            <w:r>
              <w:rPr>
                <w:rFonts w:ascii="Aptos Display" w:hAnsi="Aptos Display"/>
                <w:b/>
                <w:color w:val="FFFFFF"/>
                <w:sz w:val="38"/>
              </w:rPr>
              <w:t>DOS™ STRATEGIC PARTNER PACKET</w:t>
            </w:r>
          </w:p>
          <w:p>
            <w:pPr>
              <w:spacing w:after="0"/>
              <w:jc w:val="center"/>
            </w:pPr>
            <w:r>
              <w:rPr>
                <w:rFonts w:ascii="Aptos" w:hAnsi="Aptos"/>
                <w:color w:val="FFFFFF"/>
                <w:sz w:val="20"/>
              </w:rPr>
              <w:t>Executive biography • ecosystem • signature frameworks • partnership proposition • evidence</w:t>
            </w:r>
          </w:p>
        </w:tc>
      </w:tr>
    </w:tbl>
    <w:p>
      <w:pPr>
        <w:spacing w:before="80" w:after="160"/>
      </w:pPr>
      <w:r>
        <w:rPr>
          <w:rFonts w:ascii="Aptos Display" w:hAnsi="Aptos Display"/>
          <w:b/>
          <w:color w:val="0B1F3A"/>
          <w:sz w:val="36"/>
        </w:rPr>
        <w:t>SHORT AUTHOR BIOGRAPHY</w:t>
      </w:r>
    </w:p>
    <w:p>
      <w:pPr>
        <w:spacing w:after="120" w:line="252" w:lineRule="auto"/>
      </w:pPr>
      <w:r>
        <w:rPr>
          <w:rFonts w:ascii="Aptos" w:hAnsi="Aptos"/>
          <w:color w:val="1F2937"/>
          <w:sz w:val="19"/>
        </w:rPr>
        <w:t>David D. Douglas is an enterprise operations executive, author, and creator of the Douglas Operating System™. Over a career spanning more than three decades, he has led complex, regulated, and mission-critical service and technology organizations. As Vice President of North America Service Management for Scientific Games, he directed an $80 million operation supporting more than 900 employees, 18 data centers, three contact centers, and tens of thousands of customer locations. David holds an MBA from Tulane University’s Freeman School of Business and advises organizations on executive leadership, enterprise transformation, operating models, and value creation.</w:t>
      </w:r>
    </w:p>
    <w:p>
      <w:pPr>
        <w:spacing w:before="80" w:after="160"/>
      </w:pPr>
      <w:r>
        <w:rPr>
          <w:rFonts w:ascii="Aptos Display" w:hAnsi="Aptos Display"/>
          <w:b/>
          <w:color w:val="0B1F3A"/>
          <w:sz w:val="36"/>
        </w:rPr>
        <w:t>THE DOS™ ECOSYSTEM</w:t>
      </w:r>
    </w:p>
    <w:p>
      <w:pPr>
        <w:spacing w:after="200"/>
      </w:pPr>
      <w:r>
        <w:rPr>
          <w:rFonts w:ascii="Aptos" w:hAnsi="Aptos"/>
          <w:i/>
          <w:color w:val="5B677A"/>
          <w:sz w:val="20"/>
        </w:rPr>
        <w:t>One methodology. Multiple pathways for adoption, evidence, and scale.</w:t>
      </w:r>
    </w:p>
    <w:tbl>
      <w:tblPr>
        <w:tblW w:type="auto" w:w="0"/>
        <w:jc w:val="center"/>
        <w:tblLook w:firstColumn="1" w:firstRow="1" w:lastColumn="0" w:lastRow="0" w:noHBand="0" w:noVBand="1" w:val="04A0"/>
      </w:tblPr>
      <w:tblGrid>
        <w:gridCol w:w="10570"/>
      </w:tblGrid>
      <w:tr>
        <w:tc>
          <w:tcPr>
            <w:tcW w:type="dxa" w:w="10570"/>
            <w:tcMar>
              <w:top w:w="120" w:type="dxa"/>
              <w:start w:w="140" w:type="dxa"/>
              <w:bottom w:w="120" w:type="dxa"/>
              <w:end w:w="140" w:type="dxa"/>
            </w:tcMar>
            <w:shd w:fill="153E75"/>
            <w:vAlign w:val="center"/>
          </w:tcPr>
          <w:p>
            <w:pPr>
              <w:jc w:val="center"/>
            </w:pPr>
            <w:r/>
            <w:r>
              <w:rPr>
                <w:rFonts w:ascii="Aptos Display" w:hAnsi="Aptos Display"/>
                <w:b/>
                <w:color w:val="FFFFFF"/>
                <w:sz w:val="22"/>
              </w:rPr>
              <w:t>THE DOUGLAS OPERATING SYSTEM™</w:t>
            </w:r>
          </w:p>
          <w:p>
            <w:pPr>
              <w:spacing w:after="0"/>
              <w:jc w:val="center"/>
            </w:pPr>
            <w:r>
              <w:rPr>
                <w:rFonts w:ascii="Aptos" w:hAnsi="Aptos"/>
                <w:color w:val="FFFFFF"/>
                <w:sz w:val="18"/>
              </w:rPr>
              <w:t>The executive operating methodology that connects leadership, strategy, governance, operations, technology, culture, learning, and enterprise value.</w:t>
            </w:r>
          </w:p>
        </w:tc>
      </w:tr>
    </w:tbl>
    <w:tbl>
      <w:tblPr>
        <w:tblW w:type="auto" w:w="0"/>
        <w:jc w:val="center"/>
        <w:tblLook w:firstColumn="1" w:firstRow="1" w:lastColumn="0" w:lastRow="0" w:noHBand="0" w:noVBand="1" w:val="04A0"/>
      </w:tblPr>
      <w:tblGrid>
        <w:gridCol w:w="3523"/>
        <w:gridCol w:w="3523"/>
        <w:gridCol w:w="3523"/>
      </w:tblGrid>
      <w:tr>
        <w:tc>
          <w:tcPr>
            <w:tcW w:type="dxa" w:w="3523"/>
            <w:tcMar>
              <w:top w:w="120" w:type="dxa"/>
              <w:start w:w="140" w:type="dxa"/>
              <w:bottom w:w="120" w:type="dxa"/>
              <w:end w:w="140" w:type="dxa"/>
            </w:tcMar>
            <w:shd w:fill="EAF0F6"/>
            <w:vAlign w:val="center"/>
          </w:tcPr>
          <w:p>
            <w:pPr>
              <w:jc w:val="center"/>
            </w:pPr>
            <w:r/>
            <w:r>
              <w:rPr>
                <w:rFonts w:ascii="Aptos Display" w:hAnsi="Aptos Display"/>
                <w:b/>
                <w:color w:val="153E75"/>
                <w:sz w:val="22"/>
              </w:rPr>
              <w:t>BOOKS &amp; PLAYBOOKS</w:t>
            </w:r>
          </w:p>
          <w:p>
            <w:pPr>
              <w:spacing w:after="0"/>
              <w:jc w:val="center"/>
            </w:pPr>
            <w:r>
              <w:rPr>
                <w:rFonts w:ascii="Aptos" w:hAnsi="Aptos"/>
                <w:color w:val="1F2937"/>
                <w:sz w:val="18"/>
              </w:rPr>
              <w:t>Codify the doctrine and create a shared executive language.</w:t>
            </w:r>
          </w:p>
        </w:tc>
        <w:tc>
          <w:tcPr>
            <w:tcW w:type="dxa" w:w="3523"/>
            <w:tcMar>
              <w:top w:w="120" w:type="dxa"/>
              <w:start w:w="140" w:type="dxa"/>
              <w:bottom w:w="120" w:type="dxa"/>
              <w:end w:w="140" w:type="dxa"/>
            </w:tcMar>
            <w:shd w:fill="EAF0F6"/>
            <w:vAlign w:val="center"/>
          </w:tcPr>
          <w:p>
            <w:pPr>
              <w:jc w:val="center"/>
            </w:pPr>
            <w:r/>
            <w:r>
              <w:rPr>
                <w:rFonts w:ascii="Aptos Display" w:hAnsi="Aptos Display"/>
                <w:b/>
                <w:color w:val="153E75"/>
                <w:sz w:val="22"/>
              </w:rPr>
              <w:t>ASSESSMENTS</w:t>
            </w:r>
          </w:p>
          <w:p>
            <w:pPr>
              <w:spacing w:after="0"/>
              <w:jc w:val="center"/>
            </w:pPr>
            <w:r>
              <w:rPr>
                <w:rFonts w:ascii="Aptos" w:hAnsi="Aptos"/>
                <w:color w:val="1F2937"/>
                <w:sz w:val="18"/>
              </w:rPr>
              <w:t>Measure readiness, maturity, risk, and operating-system capability.</w:t>
            </w:r>
          </w:p>
        </w:tc>
        <w:tc>
          <w:tcPr>
            <w:tcW w:type="dxa" w:w="3523"/>
            <w:tcMar>
              <w:top w:w="120" w:type="dxa"/>
              <w:start w:w="140" w:type="dxa"/>
              <w:bottom w:w="120" w:type="dxa"/>
              <w:end w:w="140" w:type="dxa"/>
            </w:tcMar>
            <w:shd w:fill="EAF0F6"/>
            <w:vAlign w:val="center"/>
          </w:tcPr>
          <w:p>
            <w:pPr>
              <w:jc w:val="center"/>
            </w:pPr>
            <w:r/>
            <w:r>
              <w:rPr>
                <w:rFonts w:ascii="Aptos Display" w:hAnsi="Aptos Display"/>
                <w:b/>
                <w:color w:val="153E75"/>
                <w:sz w:val="22"/>
              </w:rPr>
              <w:t>EXECUTIVE EDUCATION</w:t>
            </w:r>
          </w:p>
          <w:p>
            <w:pPr>
              <w:spacing w:after="0"/>
              <w:jc w:val="center"/>
            </w:pPr>
            <w:r>
              <w:rPr>
                <w:rFonts w:ascii="Aptos" w:hAnsi="Aptos"/>
                <w:color w:val="1F2937"/>
                <w:sz w:val="18"/>
              </w:rPr>
              <w:t>Develop leaders through cohorts, workshops, cases, and simulations.</w:t>
            </w:r>
          </w:p>
        </w:tc>
      </w:tr>
    </w:tbl>
    <w:tbl>
      <w:tblPr>
        <w:tblW w:type="auto" w:w="0"/>
        <w:jc w:val="center"/>
        <w:tblLook w:firstColumn="1" w:firstRow="1" w:lastColumn="0" w:lastRow="0" w:noHBand="0" w:noVBand="1" w:val="04A0"/>
      </w:tblPr>
      <w:tblGrid>
        <w:gridCol w:w="3523"/>
        <w:gridCol w:w="3523"/>
        <w:gridCol w:w="3523"/>
      </w:tblGrid>
      <w:tr>
        <w:tc>
          <w:tcPr>
            <w:tcW w:type="dxa" w:w="3523"/>
            <w:tcMar>
              <w:top w:w="120" w:type="dxa"/>
              <w:start w:w="140" w:type="dxa"/>
              <w:bottom w:w="120" w:type="dxa"/>
              <w:end w:w="140" w:type="dxa"/>
            </w:tcMar>
            <w:shd w:fill="EAF0F6"/>
            <w:vAlign w:val="center"/>
          </w:tcPr>
          <w:p>
            <w:pPr>
              <w:jc w:val="center"/>
            </w:pPr>
            <w:r/>
            <w:r>
              <w:rPr>
                <w:rFonts w:ascii="Aptos Display" w:hAnsi="Aptos Display"/>
                <w:b/>
                <w:color w:val="153E75"/>
                <w:sz w:val="22"/>
              </w:rPr>
              <w:t>CERTIFICATION</w:t>
            </w:r>
          </w:p>
          <w:p>
            <w:pPr>
              <w:spacing w:after="0"/>
              <w:jc w:val="center"/>
            </w:pPr>
            <w:r>
              <w:rPr>
                <w:rFonts w:ascii="Aptos" w:hAnsi="Aptos"/>
                <w:color w:val="1F2937"/>
                <w:sz w:val="18"/>
              </w:rPr>
              <w:t>Establish leader, practitioner, and enterprise standards.</w:t>
            </w:r>
          </w:p>
        </w:tc>
        <w:tc>
          <w:tcPr>
            <w:tcW w:type="dxa" w:w="3523"/>
            <w:tcMar>
              <w:top w:w="120" w:type="dxa"/>
              <w:start w:w="140" w:type="dxa"/>
              <w:bottom w:w="120" w:type="dxa"/>
              <w:end w:w="140" w:type="dxa"/>
            </w:tcMar>
            <w:shd w:fill="EAF0F6"/>
            <w:vAlign w:val="center"/>
          </w:tcPr>
          <w:p>
            <w:pPr>
              <w:jc w:val="center"/>
            </w:pPr>
            <w:r/>
            <w:r>
              <w:rPr>
                <w:rFonts w:ascii="Aptos Display" w:hAnsi="Aptos Display"/>
                <w:b/>
                <w:color w:val="153E75"/>
                <w:sz w:val="22"/>
              </w:rPr>
              <w:t>ADVISORY &amp; IMPLEMENTATION</w:t>
            </w:r>
          </w:p>
          <w:p>
            <w:pPr>
              <w:spacing w:after="0"/>
              <w:jc w:val="center"/>
            </w:pPr>
            <w:r>
              <w:rPr>
                <w:rFonts w:ascii="Aptos" w:hAnsi="Aptos"/>
                <w:color w:val="1F2937"/>
                <w:sz w:val="18"/>
              </w:rPr>
              <w:t>Translate the methodology into operating-model and transformation results.</w:t>
            </w:r>
          </w:p>
        </w:tc>
        <w:tc>
          <w:tcPr>
            <w:tcW w:type="dxa" w:w="3523"/>
            <w:tcMar>
              <w:top w:w="120" w:type="dxa"/>
              <w:start w:w="140" w:type="dxa"/>
              <w:bottom w:w="120" w:type="dxa"/>
              <w:end w:w="140" w:type="dxa"/>
            </w:tcMar>
            <w:shd w:fill="EAF0F6"/>
            <w:vAlign w:val="center"/>
          </w:tcPr>
          <w:p>
            <w:pPr>
              <w:jc w:val="center"/>
            </w:pPr>
            <w:r/>
            <w:r>
              <w:rPr>
                <w:rFonts w:ascii="Aptos Display" w:hAnsi="Aptos Display"/>
                <w:b/>
                <w:color w:val="153E75"/>
                <w:sz w:val="22"/>
              </w:rPr>
              <w:t>LICENSING</w:t>
            </w:r>
          </w:p>
          <w:p>
            <w:pPr>
              <w:spacing w:after="0"/>
              <w:jc w:val="center"/>
            </w:pPr>
            <w:r>
              <w:rPr>
                <w:rFonts w:ascii="Aptos" w:hAnsi="Aptos"/>
                <w:color w:val="1F2937"/>
                <w:sz w:val="18"/>
              </w:rPr>
              <w:t>Scale delivery through facilitators, partners, and enterprise deployment.</w:t>
            </w:r>
          </w:p>
        </w:tc>
      </w:tr>
    </w:tbl>
    <w:tbl>
      <w:tblPr>
        <w:tblW w:type="auto" w:w="0"/>
        <w:jc w:val="center"/>
        <w:tblLook w:firstColumn="1" w:firstRow="1" w:lastColumn="0" w:lastRow="0" w:noHBand="0" w:noVBand="1" w:val="04A0"/>
      </w:tblPr>
      <w:tblGrid>
        <w:gridCol w:w="3523"/>
        <w:gridCol w:w="3523"/>
        <w:gridCol w:w="3523"/>
      </w:tblGrid>
      <w:tr>
        <w:tc>
          <w:tcPr>
            <w:tcW w:type="dxa" w:w="3523"/>
            <w:tcMar>
              <w:top w:w="120" w:type="dxa"/>
              <w:start w:w="140" w:type="dxa"/>
              <w:bottom w:w="120" w:type="dxa"/>
              <w:end w:w="140" w:type="dxa"/>
            </w:tcMar>
            <w:shd w:fill="EAF0F6"/>
            <w:vAlign w:val="center"/>
          </w:tcPr>
          <w:p>
            <w:pPr>
              <w:jc w:val="center"/>
            </w:pPr>
            <w:r/>
            <w:r>
              <w:rPr>
                <w:rFonts w:ascii="Aptos Display" w:hAnsi="Aptos Display"/>
                <w:b/>
                <w:color w:val="153E75"/>
                <w:sz w:val="22"/>
              </w:rPr>
              <w:t>RESEARCH &amp; BENCHMARKS</w:t>
            </w:r>
          </w:p>
          <w:p>
            <w:pPr>
              <w:spacing w:after="0"/>
              <w:jc w:val="center"/>
            </w:pPr>
            <w:r>
              <w:rPr>
                <w:rFonts w:ascii="Aptos" w:hAnsi="Aptos"/>
                <w:color w:val="1F2937"/>
                <w:sz w:val="18"/>
              </w:rPr>
              <w:t>Validate the methodology and build comparative enterprise intelligence.</w:t>
            </w:r>
          </w:p>
        </w:tc>
        <w:tc>
          <w:tcPr>
            <w:tcW w:type="dxa" w:w="3523"/>
            <w:tcMar>
              <w:top w:w="120" w:type="dxa"/>
              <w:start w:w="140" w:type="dxa"/>
              <w:bottom w:w="120" w:type="dxa"/>
              <w:end w:w="140" w:type="dxa"/>
            </w:tcMar>
            <w:shd w:fill="EAF0F6"/>
            <w:vAlign w:val="center"/>
          </w:tcPr>
          <w:p>
            <w:pPr>
              <w:jc w:val="center"/>
            </w:pPr>
            <w:r/>
            <w:r>
              <w:rPr>
                <w:rFonts w:ascii="Aptos Display" w:hAnsi="Aptos Display"/>
                <w:b/>
                <w:color w:val="153E75"/>
                <w:sz w:val="22"/>
              </w:rPr>
              <w:t>DIGITAL &amp; AI TOOLS</w:t>
            </w:r>
          </w:p>
          <w:p>
            <w:pPr>
              <w:spacing w:after="0"/>
              <w:jc w:val="center"/>
            </w:pPr>
            <w:r>
              <w:rPr>
                <w:rFonts w:ascii="Aptos" w:hAnsi="Aptos"/>
                <w:color w:val="1F2937"/>
                <w:sz w:val="18"/>
              </w:rPr>
              <w:t>Enable dashboards, decision support, digital twins, and AI executive advisors.</w:t>
            </w:r>
          </w:p>
        </w:tc>
        <w:tc>
          <w:tcPr>
            <w:tcW w:type="dxa" w:w="3523"/>
            <w:tcMar>
              <w:top w:w="120" w:type="dxa"/>
              <w:start w:w="140" w:type="dxa"/>
              <w:bottom w:w="120" w:type="dxa"/>
              <w:end w:w="140" w:type="dxa"/>
            </w:tcMar>
            <w:shd w:fill="EAF0F6"/>
            <w:vAlign w:val="center"/>
          </w:tcPr>
          <w:p>
            <w:pPr>
              <w:jc w:val="center"/>
            </w:pPr>
            <w:r/>
            <w:r>
              <w:rPr>
                <w:rFonts w:ascii="Aptos Display" w:hAnsi="Aptos Display"/>
                <w:b/>
                <w:color w:val="153E75"/>
                <w:sz w:val="22"/>
              </w:rPr>
              <w:t>DOS™ INSTITUTE</w:t>
            </w:r>
          </w:p>
          <w:p>
            <w:pPr>
              <w:spacing w:after="0"/>
              <w:jc w:val="center"/>
            </w:pPr>
            <w:r>
              <w:rPr>
                <w:rFonts w:ascii="Aptos" w:hAnsi="Aptos"/>
                <w:color w:val="1F2937"/>
                <w:sz w:val="18"/>
              </w:rPr>
              <w:t>Steward standards, curriculum, community, research, and institutional continuity.</w:t>
            </w:r>
          </w:p>
        </w:tc>
      </w:tr>
    </w:tbl>
    <w:p>
      <w:pPr>
        <w:spacing w:after="120" w:line="252" w:lineRule="auto"/>
      </w:pPr>
      <w:r>
        <w:rPr>
          <w:rFonts w:ascii="Aptos" w:hAnsi="Aptos"/>
          <w:color w:val="1F2937"/>
          <w:sz w:val="19"/>
        </w:rPr>
        <w:t>The book is the entry point, not the endpoint. Each element reinforces the others: the methodology creates the content; assessments reveal the need; education builds capability; certification protects quality; advisory proves impact; research strengthens credibility; and digital tools extend adoption.</w:t>
      </w:r>
    </w:p>
    <w:p>
      <w:r>
        <w:br w:type="page"/>
      </w:r>
    </w:p>
    <w:p>
      <w:pPr>
        <w:spacing w:before="80" w:after="160"/>
      </w:pPr>
      <w:r>
        <w:rPr>
          <w:rFonts w:ascii="Aptos Display" w:hAnsi="Aptos Display"/>
          <w:b/>
          <w:color w:val="0B1F3A"/>
          <w:sz w:val="36"/>
        </w:rPr>
        <w:t>SIGNATURE DOS™ FRAMEWORKS</w:t>
      </w:r>
    </w:p>
    <w:p>
      <w:pPr>
        <w:spacing w:after="200"/>
      </w:pPr>
      <w:r>
        <w:rPr>
          <w:rFonts w:ascii="Aptos" w:hAnsi="Aptos"/>
          <w:i/>
          <w:color w:val="5B677A"/>
          <w:sz w:val="20"/>
        </w:rPr>
        <w:t>A selected portfolio demonstrating the depth and distinctiveness of the methodology.</w:t>
      </w:r>
    </w:p>
    <w:tbl>
      <w:tblPr>
        <w:tblW w:type="auto" w:w="0"/>
        <w:jc w:val="center"/>
        <w:tblLook w:firstColumn="1" w:firstRow="1" w:lastColumn="0" w:lastRow="0" w:noHBand="0" w:noVBand="1" w:val="04A0"/>
      </w:tblPr>
      <w:tblGrid>
        <w:gridCol w:w="792"/>
        <w:gridCol w:w="9216"/>
      </w:tblGrid>
      <w:tr>
        <w:tc>
          <w:tcPr>
            <w:tcW w:type="dxa" w:w="5285"/>
            <w:tcMar>
              <w:top w:w="120" w:type="dxa"/>
              <w:start w:w="140" w:type="dxa"/>
              <w:bottom w:w="120" w:type="dxa"/>
              <w:end w:w="140" w:type="dxa"/>
            </w:tcMar>
            <w:shd w:fill="D4A72C"/>
            <w:vAlign w:val="center"/>
          </w:tcPr>
          <w:p>
            <w:pPr>
              <w:jc w:val="center"/>
            </w:pPr>
            <w:r/>
            <w:r>
              <w:rPr>
                <w:rFonts w:ascii="Aptos Display" w:hAnsi="Aptos Display"/>
                <w:b/>
                <w:color w:val="0B1F3A"/>
                <w:sz w:val="22"/>
              </w:rPr>
              <w:t>1</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53E75"/>
                <w:sz w:val="22"/>
              </w:rPr>
              <w:t>Enterprise Operating Architecture™</w:t>
            </w:r>
          </w:p>
          <w:p>
            <w:pPr>
              <w:spacing w:after="0"/>
              <w:jc w:val="left"/>
            </w:pPr>
            <w:r>
              <w:rPr>
                <w:rFonts w:ascii="Aptos" w:hAnsi="Aptos"/>
                <w:color w:val="1F2937"/>
                <w:sz w:val="18"/>
              </w:rPr>
              <w:t>Defines the eight integrated dimensions required to operate the enterprise as one system: strategy, capabilities, processes, people, technology, data, governance, and value.</w:t>
            </w:r>
          </w:p>
        </w:tc>
      </w:tr>
    </w:tbl>
    <w:tbl>
      <w:tblPr>
        <w:tblW w:type="auto" w:w="0"/>
        <w:jc w:val="center"/>
        <w:tblLook w:firstColumn="1" w:firstRow="1" w:lastColumn="0" w:lastRow="0" w:noHBand="0" w:noVBand="1" w:val="04A0"/>
      </w:tblPr>
      <w:tblGrid>
        <w:gridCol w:w="792"/>
        <w:gridCol w:w="9216"/>
      </w:tblGrid>
      <w:tr>
        <w:tc>
          <w:tcPr>
            <w:tcW w:type="dxa" w:w="5285"/>
            <w:tcMar>
              <w:top w:w="120" w:type="dxa"/>
              <w:start w:w="140" w:type="dxa"/>
              <w:bottom w:w="120" w:type="dxa"/>
              <w:end w:w="140" w:type="dxa"/>
            </w:tcMar>
            <w:shd w:fill="D4A72C"/>
            <w:vAlign w:val="center"/>
          </w:tcPr>
          <w:p>
            <w:pPr>
              <w:jc w:val="center"/>
            </w:pPr>
            <w:r/>
            <w:r>
              <w:rPr>
                <w:rFonts w:ascii="Aptos Display" w:hAnsi="Aptos Display"/>
                <w:b/>
                <w:color w:val="0B1F3A"/>
                <w:sz w:val="22"/>
              </w:rPr>
              <w:t>2</w:t>
            </w:r>
          </w:p>
        </w:tc>
        <w:tc>
          <w:tcPr>
            <w:tcW w:type="dxa" w:w="5285"/>
            <w:tcMar>
              <w:top w:w="120" w:type="dxa"/>
              <w:start w:w="140" w:type="dxa"/>
              <w:bottom w:w="120" w:type="dxa"/>
              <w:end w:w="140" w:type="dxa"/>
            </w:tcMar>
            <w:shd w:fill="FFFFFF"/>
            <w:vAlign w:val="center"/>
          </w:tcPr>
          <w:p>
            <w:pPr>
              <w:jc w:val="left"/>
            </w:pPr>
            <w:r/>
            <w:r>
              <w:rPr>
                <w:rFonts w:ascii="Aptos Display" w:hAnsi="Aptos Display"/>
                <w:b/>
                <w:color w:val="153E75"/>
                <w:sz w:val="22"/>
              </w:rPr>
              <w:t>Enterprise Performance Framework™</w:t>
            </w:r>
          </w:p>
          <w:p>
            <w:pPr>
              <w:spacing w:after="0"/>
              <w:jc w:val="left"/>
            </w:pPr>
            <w:r>
              <w:rPr>
                <w:rFonts w:ascii="Aptos" w:hAnsi="Aptos"/>
                <w:color w:val="1F2937"/>
                <w:sz w:val="18"/>
              </w:rPr>
              <w:t>Connects outcomes, performance drivers, organizational health, risk, learning, accountability, and action—moving leaders from reporting to performance intelligence.</w:t>
            </w:r>
          </w:p>
        </w:tc>
      </w:tr>
    </w:tbl>
    <w:tbl>
      <w:tblPr>
        <w:tblW w:type="auto" w:w="0"/>
        <w:jc w:val="center"/>
        <w:tblLook w:firstColumn="1" w:firstRow="1" w:lastColumn="0" w:lastRow="0" w:noHBand="0" w:noVBand="1" w:val="04A0"/>
      </w:tblPr>
      <w:tblGrid>
        <w:gridCol w:w="792"/>
        <w:gridCol w:w="9216"/>
      </w:tblGrid>
      <w:tr>
        <w:tc>
          <w:tcPr>
            <w:tcW w:type="dxa" w:w="5285"/>
            <w:tcMar>
              <w:top w:w="120" w:type="dxa"/>
              <w:start w:w="140" w:type="dxa"/>
              <w:bottom w:w="120" w:type="dxa"/>
              <w:end w:w="140" w:type="dxa"/>
            </w:tcMar>
            <w:shd w:fill="D4A72C"/>
            <w:vAlign w:val="center"/>
          </w:tcPr>
          <w:p>
            <w:pPr>
              <w:jc w:val="center"/>
            </w:pPr>
            <w:r/>
            <w:r>
              <w:rPr>
                <w:rFonts w:ascii="Aptos Display" w:hAnsi="Aptos Display"/>
                <w:b/>
                <w:color w:val="0B1F3A"/>
                <w:sz w:val="22"/>
              </w:rPr>
              <w:t>3</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53E75"/>
                <w:sz w:val="22"/>
              </w:rPr>
              <w:t>Executive Governance Model™</w:t>
            </w:r>
          </w:p>
          <w:p>
            <w:pPr>
              <w:spacing w:after="0"/>
              <w:jc w:val="left"/>
            </w:pPr>
            <w:r>
              <w:rPr>
                <w:rFonts w:ascii="Aptos" w:hAnsi="Aptos"/>
                <w:color w:val="1F2937"/>
                <w:sz w:val="18"/>
              </w:rPr>
              <w:t>Clarifies decision rights, evidence standards, escalation paths, executive forums, review rhythms, and accountability so governance accelerates execution rather than adding bureaucracy.</w:t>
            </w:r>
          </w:p>
        </w:tc>
      </w:tr>
    </w:tbl>
    <w:tbl>
      <w:tblPr>
        <w:tblW w:type="auto" w:w="0"/>
        <w:jc w:val="center"/>
        <w:tblLook w:firstColumn="1" w:firstRow="1" w:lastColumn="0" w:lastRow="0" w:noHBand="0" w:noVBand="1" w:val="04A0"/>
      </w:tblPr>
      <w:tblGrid>
        <w:gridCol w:w="792"/>
        <w:gridCol w:w="9216"/>
      </w:tblGrid>
      <w:tr>
        <w:tc>
          <w:tcPr>
            <w:tcW w:type="dxa" w:w="5285"/>
            <w:tcMar>
              <w:top w:w="120" w:type="dxa"/>
              <w:start w:w="140" w:type="dxa"/>
              <w:bottom w:w="120" w:type="dxa"/>
              <w:end w:w="140" w:type="dxa"/>
            </w:tcMar>
            <w:shd w:fill="D4A72C"/>
            <w:vAlign w:val="center"/>
          </w:tcPr>
          <w:p>
            <w:pPr>
              <w:jc w:val="center"/>
            </w:pPr>
            <w:r/>
            <w:r>
              <w:rPr>
                <w:rFonts w:ascii="Aptos Display" w:hAnsi="Aptos Display"/>
                <w:b/>
                <w:color w:val="0B1F3A"/>
                <w:sz w:val="22"/>
              </w:rPr>
              <w:t>4</w:t>
            </w:r>
          </w:p>
        </w:tc>
        <w:tc>
          <w:tcPr>
            <w:tcW w:type="dxa" w:w="5285"/>
            <w:tcMar>
              <w:top w:w="120" w:type="dxa"/>
              <w:start w:w="140" w:type="dxa"/>
              <w:bottom w:w="120" w:type="dxa"/>
              <w:end w:w="140" w:type="dxa"/>
            </w:tcMar>
            <w:shd w:fill="FFFFFF"/>
            <w:vAlign w:val="center"/>
          </w:tcPr>
          <w:p>
            <w:pPr>
              <w:jc w:val="left"/>
            </w:pPr>
            <w:r/>
            <w:r>
              <w:rPr>
                <w:rFonts w:ascii="Aptos Display" w:hAnsi="Aptos Display"/>
                <w:b/>
                <w:color w:val="153E75"/>
                <w:sz w:val="22"/>
              </w:rPr>
              <w:t>Enterprise Value Loop™</w:t>
            </w:r>
          </w:p>
          <w:p>
            <w:pPr>
              <w:spacing w:after="0"/>
              <w:jc w:val="left"/>
            </w:pPr>
            <w:r>
              <w:rPr>
                <w:rFonts w:ascii="Aptos" w:hAnsi="Aptos"/>
                <w:color w:val="1F2937"/>
                <w:sz w:val="18"/>
              </w:rPr>
              <w:t>Links visibility, operational performance, customer and stakeholder outcomes, reinvestment, capability growth, and compounding enterprise value.</w:t>
            </w:r>
          </w:p>
        </w:tc>
      </w:tr>
    </w:tbl>
    <w:tbl>
      <w:tblPr>
        <w:tblW w:type="auto" w:w="0"/>
        <w:jc w:val="center"/>
        <w:tblLook w:firstColumn="1" w:firstRow="1" w:lastColumn="0" w:lastRow="0" w:noHBand="0" w:noVBand="1" w:val="04A0"/>
      </w:tblPr>
      <w:tblGrid>
        <w:gridCol w:w="792"/>
        <w:gridCol w:w="9216"/>
      </w:tblGrid>
      <w:tr>
        <w:tc>
          <w:tcPr>
            <w:tcW w:type="dxa" w:w="5285"/>
            <w:tcMar>
              <w:top w:w="120" w:type="dxa"/>
              <w:start w:w="140" w:type="dxa"/>
              <w:bottom w:w="120" w:type="dxa"/>
              <w:end w:w="140" w:type="dxa"/>
            </w:tcMar>
            <w:shd w:fill="D4A72C"/>
            <w:vAlign w:val="center"/>
          </w:tcPr>
          <w:p>
            <w:pPr>
              <w:jc w:val="center"/>
            </w:pPr>
            <w:r/>
            <w:r>
              <w:rPr>
                <w:rFonts w:ascii="Aptos Display" w:hAnsi="Aptos Display"/>
                <w:b/>
                <w:color w:val="0B1F3A"/>
                <w:sz w:val="22"/>
              </w:rPr>
              <w:t>5</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53E75"/>
                <w:sz w:val="22"/>
              </w:rPr>
              <w:t>Executive Operating Model™</w:t>
            </w:r>
          </w:p>
          <w:p>
            <w:pPr>
              <w:spacing w:after="0"/>
              <w:jc w:val="left"/>
            </w:pPr>
            <w:r>
              <w:rPr>
                <w:rFonts w:ascii="Aptos" w:hAnsi="Aptos"/>
                <w:color w:val="1F2937"/>
                <w:sz w:val="18"/>
              </w:rPr>
              <w:t>Integrates strategic priorities, leadership capacity, governance, operating rhythms, performance intelligence, culture, transformation, and institutional continuity into one executive system.</w:t>
            </w:r>
          </w:p>
        </w:tc>
      </w:tr>
    </w:tbl>
    <w:p>
      <w:pPr>
        <w:spacing w:before="80" w:after="160"/>
      </w:pPr>
      <w:r>
        <w:rPr>
          <w:rFonts w:ascii="Aptos Display" w:hAnsi="Aptos Display"/>
          <w:b/>
          <w:color w:val="153E75"/>
          <w:sz w:val="26"/>
        </w:rPr>
        <w:t>WHAT MAKES DOS™ DIFFERENT</w:t>
      </w:r>
    </w:p>
    <w:p>
      <w:pPr>
        <w:pStyle w:val="ListBullet"/>
        <w:spacing w:after="60"/>
        <w:ind w:left="317" w:hanging="173"/>
      </w:pPr>
      <w:r>
        <w:rPr>
          <w:rFonts w:ascii="Aptos" w:hAnsi="Aptos"/>
          <w:color w:val="1F2937"/>
          <w:sz w:val="18"/>
        </w:rPr>
        <w:t>Leadership is treated as an enterprise operating discipline—not only an individual behavioral competency.</w:t>
      </w:r>
    </w:p>
    <w:p>
      <w:pPr>
        <w:pStyle w:val="ListBullet"/>
        <w:spacing w:after="60"/>
        <w:ind w:left="317" w:hanging="173"/>
      </w:pPr>
      <w:r>
        <w:rPr>
          <w:rFonts w:ascii="Aptos" w:hAnsi="Aptos"/>
          <w:color w:val="1F2937"/>
          <w:sz w:val="18"/>
        </w:rPr>
        <w:t>The methodology connects strategy, operating architecture, performance, governance, culture, transformation, resilience, AI, and value creation.</w:t>
      </w:r>
    </w:p>
    <w:p>
      <w:pPr>
        <w:pStyle w:val="ListBullet"/>
        <w:spacing w:after="60"/>
        <w:ind w:left="317" w:hanging="173"/>
      </w:pPr>
      <w:r>
        <w:rPr>
          <w:rFonts w:ascii="Aptos" w:hAnsi="Aptos"/>
          <w:color w:val="1F2937"/>
          <w:sz w:val="18"/>
        </w:rPr>
        <w:t>Every major concept is translated into a practical framework, assessment, executive tool, decision standard, or implementation roadmap.</w:t>
      </w:r>
    </w:p>
    <w:p>
      <w:pPr>
        <w:pStyle w:val="ListBullet"/>
        <w:spacing w:after="60"/>
        <w:ind w:left="317" w:hanging="173"/>
      </w:pPr>
      <w:r>
        <w:rPr>
          <w:rFonts w:ascii="Aptos" w:hAnsi="Aptos"/>
          <w:color w:val="1F2937"/>
          <w:sz w:val="18"/>
        </w:rPr>
        <w:t>DOS™ is designed for institutional adoption and continuity beyond a single leader, consulting engagement, or transformation program.</w:t>
      </w:r>
    </w:p>
    <w:p>
      <w:r>
        <w:br w:type="page"/>
      </w:r>
    </w:p>
    <w:p>
      <w:pPr>
        <w:spacing w:before="80" w:after="160"/>
      </w:pPr>
      <w:r>
        <w:rPr>
          <w:rFonts w:ascii="Aptos Display" w:hAnsi="Aptos Display"/>
          <w:b/>
          <w:color w:val="0B1F3A"/>
          <w:sz w:val="36"/>
        </w:rPr>
        <w:t>PROPOSED STRATEGIC PARTNERSHIP</w:t>
      </w:r>
    </w:p>
    <w:p>
      <w:pPr>
        <w:spacing w:after="200"/>
      </w:pPr>
      <w:r>
        <w:rPr>
          <w:rFonts w:ascii="Aptos" w:hAnsi="Aptos"/>
          <w:i/>
          <w:color w:val="5B677A"/>
          <w:sz w:val="20"/>
        </w:rPr>
        <w:t>A flexible model for validation, delivery, and responsible scale.</w:t>
      </w:r>
    </w:p>
    <w:p>
      <w:pPr>
        <w:spacing w:after="120" w:line="252" w:lineRule="auto"/>
      </w:pPr>
      <w:r>
        <w:rPr>
          <w:rFonts w:ascii="Aptos" w:hAnsi="Aptos"/>
          <w:color w:val="1F2937"/>
          <w:sz w:val="19"/>
        </w:rPr>
        <w:t>DOS™ seeks a leadership-development, executive-education, research, or enterprise-transformation partner that can help validate and scale the methodology while preserving its intellectual-property integrity and distinctive market position.</w:t>
      </w:r>
    </w:p>
    <w:tbl>
      <w:tblPr>
        <w:tblW w:type="auto" w:w="0"/>
        <w:jc w:val="center"/>
        <w:tblLook w:firstColumn="1" w:firstRow="1" w:lastColumn="0" w:lastRow="0" w:noHBand="0" w:noVBand="1" w:val="04A0"/>
      </w:tblPr>
      <w:tblGrid>
        <w:gridCol w:w="5285"/>
        <w:gridCol w:w="5285"/>
      </w:tblGrid>
      <w:tr>
        <w:tc>
          <w:tcPr>
            <w:tcW w:type="dxa" w:w="5285"/>
            <w:tcMar>
              <w:top w:w="120" w:type="dxa"/>
              <w:start w:w="140" w:type="dxa"/>
              <w:bottom w:w="120" w:type="dxa"/>
              <w:end w:w="140" w:type="dxa"/>
            </w:tcMar>
            <w:shd w:fill="153E75"/>
            <w:vAlign w:val="center"/>
          </w:tcPr>
          <w:p>
            <w:pPr>
              <w:jc w:val="center"/>
            </w:pPr>
            <w:r/>
            <w:r>
              <w:rPr>
                <w:rFonts w:ascii="Aptos Display" w:hAnsi="Aptos Display"/>
                <w:b/>
                <w:color w:val="FFFFFF"/>
                <w:sz w:val="22"/>
              </w:rPr>
              <w:t>PILOT</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F2937"/>
                <w:sz w:val="22"/>
              </w:rPr>
              <w:t>Co-design and deliver an executive cohort, enterprise workshop, or senior-team diagnostic with a selected client population.</w:t>
            </w:r>
          </w:p>
        </w:tc>
      </w:tr>
      <w:tr>
        <w:tc>
          <w:tcPr>
            <w:tcW w:type="dxa" w:w="5285"/>
            <w:tcMar>
              <w:top w:w="120" w:type="dxa"/>
              <w:start w:w="140" w:type="dxa"/>
              <w:bottom w:w="120" w:type="dxa"/>
              <w:end w:w="140" w:type="dxa"/>
            </w:tcMar>
            <w:shd w:fill="153E75"/>
            <w:vAlign w:val="center"/>
          </w:tcPr>
          <w:p>
            <w:pPr>
              <w:jc w:val="center"/>
            </w:pPr>
            <w:r/>
            <w:r>
              <w:rPr>
                <w:rFonts w:ascii="Aptos Display" w:hAnsi="Aptos Display"/>
                <w:b/>
                <w:color w:val="FFFFFF"/>
                <w:sz w:val="22"/>
              </w:rPr>
              <w:t>VALIDATE</w:t>
            </w:r>
          </w:p>
        </w:tc>
        <w:tc>
          <w:tcPr>
            <w:tcW w:type="dxa" w:w="5285"/>
            <w:tcMar>
              <w:top w:w="120" w:type="dxa"/>
              <w:start w:w="140" w:type="dxa"/>
              <w:bottom w:w="120" w:type="dxa"/>
              <w:end w:w="140" w:type="dxa"/>
            </w:tcMar>
            <w:shd w:fill="FFFFFF"/>
            <w:vAlign w:val="center"/>
          </w:tcPr>
          <w:p>
            <w:pPr>
              <w:jc w:val="left"/>
            </w:pPr>
            <w:r/>
            <w:r>
              <w:rPr>
                <w:rFonts w:ascii="Aptos Display" w:hAnsi="Aptos Display"/>
                <w:b/>
                <w:color w:val="1F2937"/>
                <w:sz w:val="22"/>
              </w:rPr>
              <w:t>Evaluate the methodology through practitioner review, participant outcomes, case research, and independent evidence.</w:t>
            </w:r>
          </w:p>
        </w:tc>
      </w:tr>
      <w:tr>
        <w:tc>
          <w:tcPr>
            <w:tcW w:type="dxa" w:w="5285"/>
            <w:tcMar>
              <w:top w:w="120" w:type="dxa"/>
              <w:start w:w="140" w:type="dxa"/>
              <w:bottom w:w="120" w:type="dxa"/>
              <w:end w:w="140" w:type="dxa"/>
            </w:tcMar>
            <w:shd w:fill="153E75"/>
            <w:vAlign w:val="center"/>
          </w:tcPr>
          <w:p>
            <w:pPr>
              <w:jc w:val="center"/>
            </w:pPr>
            <w:r/>
            <w:r>
              <w:rPr>
                <w:rFonts w:ascii="Aptos Display" w:hAnsi="Aptos Display"/>
                <w:b/>
                <w:color w:val="FFFFFF"/>
                <w:sz w:val="22"/>
              </w:rPr>
              <w:t>INTEGRATE</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F2937"/>
                <w:sz w:val="22"/>
              </w:rPr>
              <w:t>Incorporate selected DOS™ frameworks, assessments, and tools into complementary leadership or transformation offerings.</w:t>
            </w:r>
          </w:p>
        </w:tc>
      </w:tr>
      <w:tr>
        <w:tc>
          <w:tcPr>
            <w:tcW w:type="dxa" w:w="5285"/>
            <w:tcMar>
              <w:top w:w="120" w:type="dxa"/>
              <w:start w:w="140" w:type="dxa"/>
              <w:bottom w:w="120" w:type="dxa"/>
              <w:end w:w="140" w:type="dxa"/>
            </w:tcMar>
            <w:shd w:fill="153E75"/>
            <w:vAlign w:val="center"/>
          </w:tcPr>
          <w:p>
            <w:pPr>
              <w:jc w:val="center"/>
            </w:pPr>
            <w:r/>
            <w:r>
              <w:rPr>
                <w:rFonts w:ascii="Aptos Display" w:hAnsi="Aptos Display"/>
                <w:b/>
                <w:color w:val="FFFFFF"/>
                <w:sz w:val="22"/>
              </w:rPr>
              <w:t>CERTIFY</w:t>
            </w:r>
          </w:p>
        </w:tc>
        <w:tc>
          <w:tcPr>
            <w:tcW w:type="dxa" w:w="5285"/>
            <w:tcMar>
              <w:top w:w="120" w:type="dxa"/>
              <w:start w:w="140" w:type="dxa"/>
              <w:bottom w:w="120" w:type="dxa"/>
              <w:end w:w="140" w:type="dxa"/>
            </w:tcMar>
            <w:shd w:fill="FFFFFF"/>
            <w:vAlign w:val="center"/>
          </w:tcPr>
          <w:p>
            <w:pPr>
              <w:jc w:val="left"/>
            </w:pPr>
            <w:r/>
            <w:r>
              <w:rPr>
                <w:rFonts w:ascii="Aptos Display" w:hAnsi="Aptos Display"/>
                <w:b/>
                <w:color w:val="1F2937"/>
                <w:sz w:val="22"/>
              </w:rPr>
              <w:t>Develop a rigorous facilitator, practitioner, or enterprise certification pathway supported by quality standards and governance.</w:t>
            </w:r>
          </w:p>
        </w:tc>
      </w:tr>
      <w:tr>
        <w:tc>
          <w:tcPr>
            <w:tcW w:type="dxa" w:w="5285"/>
            <w:tcMar>
              <w:top w:w="120" w:type="dxa"/>
              <w:start w:w="140" w:type="dxa"/>
              <w:bottom w:w="120" w:type="dxa"/>
              <w:end w:w="140" w:type="dxa"/>
            </w:tcMar>
            <w:shd w:fill="153E75"/>
            <w:vAlign w:val="center"/>
          </w:tcPr>
          <w:p>
            <w:pPr>
              <w:jc w:val="center"/>
            </w:pPr>
            <w:r/>
            <w:r>
              <w:rPr>
                <w:rFonts w:ascii="Aptos Display" w:hAnsi="Aptos Display"/>
                <w:b/>
                <w:color w:val="FFFFFF"/>
                <w:sz w:val="22"/>
              </w:rPr>
              <w:t>SCALE</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F2937"/>
                <w:sz w:val="22"/>
              </w:rPr>
              <w:t>Expand through licensed delivery, executive education, corporate partnerships, research, events, digital tools, and global networks.</w:t>
            </w:r>
          </w:p>
        </w:tc>
      </w:tr>
    </w:tbl>
    <w:p>
      <w:pPr>
        <w:spacing w:before="80" w:after="160"/>
      </w:pPr>
      <w:r>
        <w:rPr>
          <w:rFonts w:ascii="Aptos Display" w:hAnsi="Aptos Display"/>
          <w:b/>
          <w:color w:val="153E75"/>
          <w:sz w:val="26"/>
        </w:rPr>
        <w:t>WHAT DOS™ CONTRIBUTES</w:t>
      </w:r>
    </w:p>
    <w:p>
      <w:pPr>
        <w:pStyle w:val="ListBullet"/>
        <w:spacing w:after="60"/>
        <w:ind w:left="317" w:hanging="173"/>
      </w:pPr>
      <w:r>
        <w:rPr>
          <w:rFonts w:ascii="Aptos" w:hAnsi="Aptos"/>
          <w:color w:val="1F2937"/>
          <w:sz w:val="18"/>
        </w:rPr>
        <w:t>A substantially developed 17-chapter manuscript and integrated body of proprietary executive frameworks.</w:t>
      </w:r>
    </w:p>
    <w:p>
      <w:pPr>
        <w:pStyle w:val="ListBullet"/>
        <w:spacing w:after="60"/>
        <w:ind w:left="317" w:hanging="173"/>
      </w:pPr>
      <w:r>
        <w:rPr>
          <w:rFonts w:ascii="Aptos" w:hAnsi="Aptos"/>
          <w:color w:val="1F2937"/>
          <w:sz w:val="18"/>
        </w:rPr>
        <w:t>Practical operating experience from complex, regulated, technology-enabled, and mission-critical environments.</w:t>
      </w:r>
    </w:p>
    <w:p>
      <w:pPr>
        <w:pStyle w:val="ListBullet"/>
        <w:spacing w:after="60"/>
        <w:ind w:left="317" w:hanging="173"/>
      </w:pPr>
      <w:r>
        <w:rPr>
          <w:rFonts w:ascii="Aptos" w:hAnsi="Aptos"/>
          <w:color w:val="1F2937"/>
          <w:sz w:val="18"/>
        </w:rPr>
        <w:t>Executive assessments, maturity models, implementation roadmaps, governance tools, and visual teaching assets.</w:t>
      </w:r>
    </w:p>
    <w:p>
      <w:pPr>
        <w:pStyle w:val="ListBullet"/>
        <w:spacing w:after="60"/>
        <w:ind w:left="317" w:hanging="173"/>
      </w:pPr>
      <w:r>
        <w:rPr>
          <w:rFonts w:ascii="Aptos" w:hAnsi="Aptos"/>
          <w:color w:val="1F2937"/>
          <w:sz w:val="18"/>
        </w:rPr>
        <w:t>A defined commercialization architecture spanning books, education, certification, licensing, advisory services, research, and digital tools.</w:t>
      </w:r>
    </w:p>
    <w:p>
      <w:pPr>
        <w:spacing w:before="80" w:after="160"/>
      </w:pPr>
      <w:r>
        <w:rPr>
          <w:rFonts w:ascii="Aptos Display" w:hAnsi="Aptos Display"/>
          <w:b/>
          <w:color w:val="153E75"/>
          <w:sz w:val="26"/>
        </w:rPr>
        <w:t>WHAT WE SEEK IN A PARTNER</w:t>
      </w:r>
    </w:p>
    <w:p>
      <w:pPr>
        <w:pStyle w:val="ListBullet"/>
        <w:spacing w:after="60"/>
        <w:ind w:left="317" w:hanging="173"/>
      </w:pPr>
      <w:r>
        <w:rPr>
          <w:rFonts w:ascii="Aptos" w:hAnsi="Aptos"/>
          <w:color w:val="1F2937"/>
          <w:sz w:val="18"/>
        </w:rPr>
        <w:t>Credibility and reach with CEOs, COOs, boards, senior teams, and enterprise clients.</w:t>
      </w:r>
    </w:p>
    <w:p>
      <w:pPr>
        <w:pStyle w:val="ListBullet"/>
        <w:spacing w:after="60"/>
        <w:ind w:left="317" w:hanging="173"/>
      </w:pPr>
      <w:r>
        <w:rPr>
          <w:rFonts w:ascii="Aptos" w:hAnsi="Aptos"/>
          <w:color w:val="1F2937"/>
          <w:sz w:val="18"/>
        </w:rPr>
        <w:t>Expertise in executive education, assessment validation, organizational transformation, or scalable learning delivery.</w:t>
      </w:r>
    </w:p>
    <w:p>
      <w:pPr>
        <w:pStyle w:val="ListBullet"/>
        <w:spacing w:after="60"/>
        <w:ind w:left="317" w:hanging="173"/>
      </w:pPr>
      <w:r>
        <w:rPr>
          <w:rFonts w:ascii="Aptos" w:hAnsi="Aptos"/>
          <w:color w:val="1F2937"/>
          <w:sz w:val="18"/>
        </w:rPr>
        <w:t>A disciplined approach to intellectual property, brand standards, facilitator quality, and measurable client outcomes.</w:t>
      </w:r>
    </w:p>
    <w:p>
      <w:pPr>
        <w:pStyle w:val="ListBullet"/>
        <w:spacing w:after="60"/>
        <w:ind w:left="317" w:hanging="173"/>
      </w:pPr>
      <w:r>
        <w:rPr>
          <w:rFonts w:ascii="Aptos" w:hAnsi="Aptos"/>
          <w:color w:val="1F2937"/>
          <w:sz w:val="18"/>
        </w:rPr>
        <w:t>Interest in building an enduring methodology and institutional platform—not merely a one-time course or promotional campaign.</w:t>
      </w:r>
    </w:p>
    <w:p>
      <w:r>
        <w:br w:type="page"/>
      </w:r>
    </w:p>
    <w:p>
      <w:pPr>
        <w:spacing w:before="80" w:after="160"/>
      </w:pPr>
      <w:r>
        <w:rPr>
          <w:rFonts w:ascii="Aptos Display" w:hAnsi="Aptos Display"/>
          <w:b/>
          <w:color w:val="0B1F3A"/>
          <w:sz w:val="36"/>
        </w:rPr>
        <w:t>SELECTED OPERATING RESULTS AND VALIDATION</w:t>
      </w:r>
    </w:p>
    <w:p>
      <w:pPr>
        <w:spacing w:after="200"/>
      </w:pPr>
      <w:r>
        <w:rPr>
          <w:rFonts w:ascii="Aptos" w:hAnsi="Aptos"/>
          <w:i/>
          <w:color w:val="5B677A"/>
          <w:sz w:val="20"/>
        </w:rPr>
        <w:t>Evidence drawn from enterprise operating leadership and transformation experience.</w:t>
      </w:r>
    </w:p>
    <w:tbl>
      <w:tblPr>
        <w:tblW w:type="auto" w:w="0"/>
        <w:jc w:val="center"/>
        <w:tblLook w:firstColumn="1" w:firstRow="1" w:lastColumn="0" w:lastRow="0" w:noHBand="0" w:noVBand="1" w:val="04A0"/>
      </w:tblPr>
      <w:tblGrid>
        <w:gridCol w:w="5285"/>
        <w:gridCol w:w="5285"/>
      </w:tblGrid>
      <w:tr>
        <w:tc>
          <w:tcPr>
            <w:tcW w:type="dxa" w:w="5285"/>
            <w:tcMar>
              <w:top w:w="120" w:type="dxa"/>
              <w:start w:w="140" w:type="dxa"/>
              <w:bottom w:w="120" w:type="dxa"/>
              <w:end w:w="140" w:type="dxa"/>
            </w:tcMar>
            <w:shd w:fill="0B1F3A"/>
            <w:vAlign w:val="center"/>
          </w:tcPr>
          <w:p>
            <w:pPr>
              <w:jc w:val="center"/>
            </w:pPr>
            <w:r/>
            <w:r>
              <w:rPr>
                <w:rFonts w:ascii="Aptos Display" w:hAnsi="Aptos Display"/>
                <w:b/>
                <w:color w:val="FFFFFF"/>
                <w:sz w:val="22"/>
              </w:rPr>
              <w:t>ENTERPRISE SCALE</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F2937"/>
                <w:sz w:val="22"/>
              </w:rPr>
              <w:t>Led an operation exceeding $80 million in annual budget, with more than 900 employees, 18 data centers, three contact centers, and support for more than 41,000 customer locations.</w:t>
            </w:r>
          </w:p>
        </w:tc>
      </w:tr>
    </w:tbl>
    <w:tbl>
      <w:tblPr>
        <w:tblW w:type="auto" w:w="0"/>
        <w:jc w:val="center"/>
        <w:tblLook w:firstColumn="1" w:firstRow="1" w:lastColumn="0" w:lastRow="0" w:noHBand="0" w:noVBand="1" w:val="04A0"/>
      </w:tblPr>
      <w:tblGrid>
        <w:gridCol w:w="5285"/>
        <w:gridCol w:w="5285"/>
      </w:tblGrid>
      <w:tr>
        <w:tc>
          <w:tcPr>
            <w:tcW w:type="dxa" w:w="5285"/>
            <w:tcMar>
              <w:top w:w="120" w:type="dxa"/>
              <w:start w:w="140" w:type="dxa"/>
              <w:bottom w:w="120" w:type="dxa"/>
              <w:end w:w="140" w:type="dxa"/>
            </w:tcMar>
            <w:shd w:fill="0B1F3A"/>
            <w:vAlign w:val="center"/>
          </w:tcPr>
          <w:p>
            <w:pPr>
              <w:jc w:val="center"/>
            </w:pPr>
            <w:r/>
            <w:r>
              <w:rPr>
                <w:rFonts w:ascii="Aptos Display" w:hAnsi="Aptos Display"/>
                <w:b/>
                <w:color w:val="FFFFFF"/>
                <w:sz w:val="22"/>
              </w:rPr>
              <w:t>SERVICE RELIABILITY</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F2937"/>
                <w:sz w:val="22"/>
              </w:rPr>
              <w:t>Sustained mission-critical service availability above 99.9% across complex, highly regulated customer environments.</w:t>
            </w:r>
          </w:p>
        </w:tc>
      </w:tr>
    </w:tbl>
    <w:tbl>
      <w:tblPr>
        <w:tblW w:type="auto" w:w="0"/>
        <w:jc w:val="center"/>
        <w:tblLook w:firstColumn="1" w:firstRow="1" w:lastColumn="0" w:lastRow="0" w:noHBand="0" w:noVBand="1" w:val="04A0"/>
      </w:tblPr>
      <w:tblGrid>
        <w:gridCol w:w="5285"/>
        <w:gridCol w:w="5285"/>
      </w:tblGrid>
      <w:tr>
        <w:tc>
          <w:tcPr>
            <w:tcW w:type="dxa" w:w="5285"/>
            <w:tcMar>
              <w:top w:w="120" w:type="dxa"/>
              <w:start w:w="140" w:type="dxa"/>
              <w:bottom w:w="120" w:type="dxa"/>
              <w:end w:w="140" w:type="dxa"/>
            </w:tcMar>
            <w:shd w:fill="0B1F3A"/>
            <w:vAlign w:val="center"/>
          </w:tcPr>
          <w:p>
            <w:pPr>
              <w:jc w:val="center"/>
            </w:pPr>
            <w:r/>
            <w:r>
              <w:rPr>
                <w:rFonts w:ascii="Aptos Display" w:hAnsi="Aptos Display"/>
                <w:b/>
                <w:color w:val="FFFFFF"/>
                <w:sz w:val="22"/>
              </w:rPr>
              <w:t>COST-TO-SERVE</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F2937"/>
                <w:sz w:val="22"/>
              </w:rPr>
              <w:t>Reduced cost-to-serve by 22% through operating-model redesign, consolidation, process discipline, and performance visibility.</w:t>
            </w:r>
          </w:p>
        </w:tc>
      </w:tr>
    </w:tbl>
    <w:tbl>
      <w:tblPr>
        <w:tblW w:type="auto" w:w="0"/>
        <w:jc w:val="center"/>
        <w:tblLook w:firstColumn="1" w:firstRow="1" w:lastColumn="0" w:lastRow="0" w:noHBand="0" w:noVBand="1" w:val="04A0"/>
      </w:tblPr>
      <w:tblGrid>
        <w:gridCol w:w="5285"/>
        <w:gridCol w:w="5285"/>
      </w:tblGrid>
      <w:tr>
        <w:tc>
          <w:tcPr>
            <w:tcW w:type="dxa" w:w="5285"/>
            <w:tcMar>
              <w:top w:w="120" w:type="dxa"/>
              <w:start w:w="140" w:type="dxa"/>
              <w:bottom w:w="120" w:type="dxa"/>
              <w:end w:w="140" w:type="dxa"/>
            </w:tcMar>
            <w:shd w:fill="0B1F3A"/>
            <w:vAlign w:val="center"/>
          </w:tcPr>
          <w:p>
            <w:pPr>
              <w:jc w:val="center"/>
            </w:pPr>
            <w:r/>
            <w:r>
              <w:rPr>
                <w:rFonts w:ascii="Aptos Display" w:hAnsi="Aptos Display"/>
                <w:b/>
                <w:color w:val="FFFFFF"/>
                <w:sz w:val="22"/>
              </w:rPr>
              <w:t>SLA PERFORMANCE</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F2937"/>
                <w:sz w:val="22"/>
              </w:rPr>
              <w:t>Improved SLA performance by 28% and reduced annual service-level exposure from approximately $2 million to less than $200,000.</w:t>
            </w:r>
          </w:p>
        </w:tc>
      </w:tr>
    </w:tbl>
    <w:tbl>
      <w:tblPr>
        <w:tblW w:type="auto" w:w="0"/>
        <w:jc w:val="center"/>
        <w:tblLook w:firstColumn="1" w:firstRow="1" w:lastColumn="0" w:lastRow="0" w:noHBand="0" w:noVBand="1" w:val="04A0"/>
      </w:tblPr>
      <w:tblGrid>
        <w:gridCol w:w="5285"/>
        <w:gridCol w:w="5285"/>
      </w:tblGrid>
      <w:tr>
        <w:tc>
          <w:tcPr>
            <w:tcW w:type="dxa" w:w="5285"/>
            <w:tcMar>
              <w:top w:w="120" w:type="dxa"/>
              <w:start w:w="140" w:type="dxa"/>
              <w:bottom w:w="120" w:type="dxa"/>
              <w:end w:w="140" w:type="dxa"/>
            </w:tcMar>
            <w:shd w:fill="0B1F3A"/>
            <w:vAlign w:val="center"/>
          </w:tcPr>
          <w:p>
            <w:pPr>
              <w:jc w:val="center"/>
            </w:pPr>
            <w:r/>
            <w:r>
              <w:rPr>
                <w:rFonts w:ascii="Aptos Display" w:hAnsi="Aptos Display"/>
                <w:b/>
                <w:color w:val="FFFFFF"/>
                <w:sz w:val="22"/>
              </w:rPr>
              <w:t>OPERATING CONSOLIDATION</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F2937"/>
                <w:sz w:val="22"/>
              </w:rPr>
              <w:t>Consolidated 26 operating sites while strengthening national depot, network operations, support, reporting, and governance capabilities.</w:t>
            </w:r>
          </w:p>
        </w:tc>
      </w:tr>
    </w:tbl>
    <w:tbl>
      <w:tblPr>
        <w:tblW w:type="auto" w:w="0"/>
        <w:jc w:val="center"/>
        <w:tblLook w:firstColumn="1" w:firstRow="1" w:lastColumn="0" w:lastRow="0" w:noHBand="0" w:noVBand="1" w:val="04A0"/>
      </w:tblPr>
      <w:tblGrid>
        <w:gridCol w:w="5285"/>
        <w:gridCol w:w="5285"/>
      </w:tblGrid>
      <w:tr>
        <w:tc>
          <w:tcPr>
            <w:tcW w:type="dxa" w:w="5285"/>
            <w:tcMar>
              <w:top w:w="120" w:type="dxa"/>
              <w:start w:w="140" w:type="dxa"/>
              <w:bottom w:w="120" w:type="dxa"/>
              <w:end w:w="140" w:type="dxa"/>
            </w:tcMar>
            <w:shd w:fill="0B1F3A"/>
            <w:vAlign w:val="center"/>
          </w:tcPr>
          <w:p>
            <w:pPr>
              <w:jc w:val="center"/>
            </w:pPr>
            <w:r/>
            <w:r>
              <w:rPr>
                <w:rFonts w:ascii="Aptos Display" w:hAnsi="Aptos Display"/>
                <w:b/>
                <w:color w:val="FFFFFF"/>
                <w:sz w:val="22"/>
              </w:rPr>
              <w:t>FIELD PERFORMANCE</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F2937"/>
                <w:sz w:val="22"/>
              </w:rPr>
              <w:t>In a consulting engagement, helped reduce weekly overtime from approximately 130 hours to approximately 18 hours while increasing technician activity and reducing miles per visit.</w:t>
            </w:r>
          </w:p>
        </w:tc>
      </w:tr>
    </w:tbl>
    <w:tbl>
      <w:tblPr>
        <w:tblW w:type="auto" w:w="0"/>
        <w:jc w:val="center"/>
        <w:tblLook w:firstColumn="1" w:firstRow="1" w:lastColumn="0" w:lastRow="0" w:noHBand="0" w:noVBand="1" w:val="04A0"/>
      </w:tblPr>
      <w:tblGrid>
        <w:gridCol w:w="5285"/>
        <w:gridCol w:w="5285"/>
      </w:tblGrid>
      <w:tr>
        <w:tc>
          <w:tcPr>
            <w:tcW w:type="dxa" w:w="5285"/>
            <w:tcMar>
              <w:top w:w="120" w:type="dxa"/>
              <w:start w:w="140" w:type="dxa"/>
              <w:bottom w:w="120" w:type="dxa"/>
              <w:end w:w="140" w:type="dxa"/>
            </w:tcMar>
            <w:shd w:fill="0B1F3A"/>
            <w:vAlign w:val="center"/>
          </w:tcPr>
          <w:p>
            <w:pPr>
              <w:jc w:val="center"/>
            </w:pPr>
            <w:r/>
            <w:r>
              <w:rPr>
                <w:rFonts w:ascii="Aptos Display" w:hAnsi="Aptos Display"/>
                <w:b/>
                <w:color w:val="FFFFFF"/>
                <w:sz w:val="22"/>
              </w:rPr>
              <w:t>AI-ENABLED MANAGEMENT</w:t>
            </w:r>
          </w:p>
        </w:tc>
        <w:tc>
          <w:tcPr>
            <w:tcW w:type="dxa" w:w="5285"/>
            <w:tcMar>
              <w:top w:w="120" w:type="dxa"/>
              <w:start w:w="140" w:type="dxa"/>
              <w:bottom w:w="120" w:type="dxa"/>
              <w:end w:w="140" w:type="dxa"/>
            </w:tcMar>
            <w:shd w:fill="EAF0F6"/>
            <w:vAlign w:val="center"/>
          </w:tcPr>
          <w:p>
            <w:pPr>
              <w:jc w:val="left"/>
            </w:pPr>
            <w:r/>
            <w:r>
              <w:rPr>
                <w:rFonts w:ascii="Aptos Display" w:hAnsi="Aptos Display"/>
                <w:b/>
                <w:color w:val="1F2937"/>
                <w:sz w:val="22"/>
              </w:rPr>
              <w:t>Integrated workforce, vehicle, and ticketing data into AI-supported technician scorecards and a manager performance-coaching system.</w:t>
            </w:r>
          </w:p>
        </w:tc>
      </w:tr>
    </w:tbl>
    <w:p>
      <w:pPr>
        <w:spacing w:before="80" w:after="160"/>
      </w:pPr>
      <w:r>
        <w:rPr>
          <w:rFonts w:ascii="Aptos Display" w:hAnsi="Aptos Display"/>
          <w:b/>
          <w:color w:val="153E75"/>
          <w:sz w:val="26"/>
        </w:rPr>
        <w:t>SELECTED EXECUTIVE VALIDATION</w:t>
      </w:r>
    </w:p>
    <w:tbl>
      <w:tblPr>
        <w:tblW w:type="auto" w:w="0"/>
        <w:jc w:val="center"/>
        <w:tblLook w:firstColumn="1" w:firstRow="1" w:lastColumn="0" w:lastRow="0" w:noHBand="0" w:noVBand="1" w:val="04A0"/>
      </w:tblPr>
      <w:tblGrid>
        <w:gridCol w:w="10570"/>
      </w:tblGrid>
      <w:tr>
        <w:tc>
          <w:tcPr>
            <w:tcW w:type="dxa" w:w="10570"/>
            <w:tcMar>
              <w:top w:w="120" w:type="dxa"/>
              <w:start w:w="140" w:type="dxa"/>
              <w:bottom w:w="120" w:type="dxa"/>
              <w:end w:w="140" w:type="dxa"/>
            </w:tcMar>
            <w:shd w:fill="EAF0F6"/>
            <w:vAlign w:val="center"/>
          </w:tcPr>
          <w:p>
            <w:pPr>
              <w:jc w:val="center"/>
            </w:pPr>
            <w:r/>
            <w:r>
              <w:rPr>
                <w:rFonts w:ascii="Aptos Display" w:hAnsi="Aptos Display"/>
                <w:b/>
                <w:color w:val="153E75"/>
                <w:sz w:val="22"/>
              </w:rPr>
              <w:t>“Good guy, great professional.”</w:t>
            </w:r>
          </w:p>
          <w:p>
            <w:pPr>
              <w:spacing w:after="0"/>
              <w:jc w:val="center"/>
            </w:pPr>
            <w:r>
              <w:rPr>
                <w:rFonts w:ascii="Aptos" w:hAnsi="Aptos"/>
                <w:color w:val="5B677A"/>
                <w:sz w:val="18"/>
              </w:rPr>
              <w:t>— Executive feedback following a service-operations consulting engagement</w:t>
            </w:r>
          </w:p>
        </w:tc>
      </w:tr>
    </w:tbl>
    <w:p>
      <w:pPr>
        <w:spacing w:after="120" w:line="252" w:lineRule="auto"/>
      </w:pPr>
      <w:r>
        <w:rPr>
          <w:rFonts w:ascii="Aptos" w:hAnsi="Aptos"/>
          <w:color w:val="1F2937"/>
          <w:sz w:val="19"/>
        </w:rPr>
        <w:t>Additional testimonial support has been developed from senior executives and colleagues familiar with large-scale service integration, customer operations, performance improvement, and executive leadership. Full endorsements and contact references can be provided during partnership diligence.</w:t>
      </w:r>
    </w:p>
    <w:p>
      <w:pPr>
        <w:spacing w:before="80" w:after="160"/>
      </w:pPr>
      <w:r>
        <w:rPr>
          <w:rFonts w:ascii="Aptos Display" w:hAnsi="Aptos Display"/>
          <w:b/>
          <w:color w:val="153E75"/>
          <w:sz w:val="26"/>
        </w:rPr>
        <w:t>THE OPPORTUNITY</w:t>
      </w:r>
    </w:p>
    <w:tbl>
      <w:tblPr>
        <w:tblW w:type="auto" w:w="0"/>
        <w:jc w:val="center"/>
        <w:tblLook w:firstColumn="1" w:firstRow="1" w:lastColumn="0" w:lastRow="0" w:noHBand="0" w:noVBand="1" w:val="04A0"/>
      </w:tblPr>
      <w:tblGrid>
        <w:gridCol w:w="10570"/>
      </w:tblGrid>
      <w:tr>
        <w:tc>
          <w:tcPr>
            <w:tcW w:type="dxa" w:w="10570"/>
            <w:tcMar>
              <w:top w:w="120" w:type="dxa"/>
              <w:start w:w="140" w:type="dxa"/>
              <w:bottom w:w="120" w:type="dxa"/>
              <w:end w:w="140" w:type="dxa"/>
            </w:tcMar>
            <w:shd w:fill="153E75"/>
            <w:vAlign w:val="center"/>
          </w:tcPr>
          <w:p>
            <w:pPr>
              <w:jc w:val="center"/>
            </w:pPr>
            <w:r/>
            <w:r>
              <w:rPr>
                <w:rFonts w:ascii="Aptos Display" w:hAnsi="Aptos Display"/>
                <w:b/>
                <w:color w:val="FFFFFF"/>
                <w:sz w:val="22"/>
              </w:rPr>
              <w:t>DOS™ fills the missing space between leadership development and enterprise execution.</w:t>
            </w:r>
          </w:p>
          <w:p>
            <w:pPr>
              <w:spacing w:after="0"/>
              <w:jc w:val="center"/>
            </w:pPr>
            <w:r>
              <w:rPr>
                <w:rFonts w:ascii="Aptos" w:hAnsi="Aptos"/>
                <w:color w:val="FFFFFF"/>
                <w:sz w:val="18"/>
              </w:rPr>
              <w:t>It gives leaders not only a philosophy for leading, but an integrated system for designing, governing, measuring, improving, and institutionalizing how the enterprise operates.</w:t>
            </w:r>
          </w:p>
        </w:tc>
      </w:tr>
    </w:tbl>
    <w:sectPr w:rsidR="00FC693F" w:rsidRPr="0006063C" w:rsidSect="00034616">
      <w:headerReference w:type="default" r:id="rId9"/>
      <w:footerReference w:type="default" r:id="rId10"/>
      <w:pgSz w:w="12240" w:h="15840"/>
      <w:pgMar w:top="720" w:right="835" w:bottom="720"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5B677A"/>
        <w:sz w:val="16"/>
      </w:rPr>
      <w:t>Douglas Operating System™  |  Strategic Partner Overview  |  David D. Douglas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b/>
        <w:color w:val="5D6B7A"/>
        <w:sz w:val="15"/>
      </w:rPr>
      <w:t>DOUGLAS OPERATING SYSTEM™  |  EXECUTIVE OVERVIEW</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ptos" w:hAnsi="Aptos"/>
      <w:color w:val="243447"/>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DOSTitle">
    <w:name w:val="DOS Title"/>
    <w:pPr>
      <w:spacing w:before="80" w:after="80"/>
    </w:pPr>
    <w:rPr>
      <w:rFonts w:ascii="Aptos Display" w:hAnsi="Aptos Display"/>
      <w:b/>
      <w:color w:val="FFFFFF"/>
      <w:sz w:val="48"/>
    </w:rPr>
  </w:style>
  <w:style w:type="paragraph" w:customStyle="1" w:styleId="DOSSubtitle">
    <w:name w:val="DOS Subtitle"/>
    <w:pPr>
      <w:spacing w:before="80" w:after="80"/>
    </w:pPr>
    <w:rPr>
      <w:rFonts w:ascii="Aptos" w:hAnsi="Aptos"/>
      <w:b/>
      <w:color w:val="4CC3D9"/>
      <w:sz w:val="24"/>
    </w:rPr>
  </w:style>
  <w:style w:type="paragraph" w:customStyle="1" w:styleId="DOSH1">
    <w:name w:val="DOS H1"/>
    <w:pPr>
      <w:spacing w:before="80" w:after="80"/>
    </w:pPr>
    <w:rPr>
      <w:rFonts w:ascii="Aptos Display" w:hAnsi="Aptos Display"/>
      <w:b/>
      <w:color w:val="0B1F3A"/>
      <w:sz w:val="30"/>
    </w:rPr>
  </w:style>
  <w:style w:type="paragraph" w:customStyle="1" w:styleId="DOSH2">
    <w:name w:val="DOS H2"/>
    <w:pPr>
      <w:spacing w:before="80" w:after="80"/>
    </w:pPr>
    <w:rPr>
      <w:rFonts w:ascii="Aptos" w:hAnsi="Aptos"/>
      <w:b/>
      <w:color w:val="17375E"/>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Douglas Operating System™ — Executive Overview</dc:title>
  <dc:subject>Two-page executive overview of DOS™</dc:subject>
  <dc:creator>David D. Douglas</dc:creator>
  <cp:keywords/>
  <dc:description>generated by python-docx</dc:description>
  <cp:lastModifiedBy/>
  <cp:revision>1</cp:revision>
  <dcterms:created xsi:type="dcterms:W3CDTF">2013-12-23T23:15:00Z</dcterms:created>
  <dcterms:modified xsi:type="dcterms:W3CDTF">2013-12-23T23:15:00Z</dcterms:modified>
  <cp:category/>
</cp:coreProperties>
</file>